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22" w:rsidRDefault="00402222" w:rsidP="00402222">
      <w:pPr>
        <w:rPr>
          <w:rFonts w:ascii="Times New Roman" w:eastAsia="나눔고딕" w:hint="eastAsia"/>
          <w:b/>
          <w:sz w:val="32"/>
          <w:szCs w:val="32"/>
          <w:lang w:val="mn-MN"/>
        </w:rPr>
      </w:pPr>
      <w:r w:rsidRPr="00C66985">
        <w:rPr>
          <w:rFonts w:ascii="Times New Roman" w:eastAsia="나눔고딕"/>
          <w:b/>
          <w:sz w:val="32"/>
          <w:szCs w:val="32"/>
          <w:lang w:val="mn-MN"/>
        </w:rPr>
        <w:t>9-р Бүгд хурал</w:t>
      </w:r>
    </w:p>
    <w:p w:rsidR="00C66985" w:rsidRPr="00C66985" w:rsidRDefault="00C66985" w:rsidP="00402222">
      <w:pPr>
        <w:rPr>
          <w:rFonts w:ascii="Times New Roman" w:eastAsia="나눔고딕"/>
          <w:b/>
          <w:sz w:val="32"/>
          <w:szCs w:val="32"/>
          <w:lang w:val="mn-MN"/>
        </w:rPr>
      </w:pPr>
    </w:p>
    <w:p w:rsidR="00402222" w:rsidRPr="00C66985" w:rsidRDefault="00402222" w:rsidP="00402222">
      <w:pPr>
        <w:pStyle w:val="a4"/>
        <w:numPr>
          <w:ilvl w:val="0"/>
          <w:numId w:val="1"/>
        </w:numPr>
        <w:ind w:leftChars="0"/>
        <w:rPr>
          <w:rFonts w:ascii="Times New Roman" w:eastAsia="나눔고딕"/>
          <w:sz w:val="24"/>
          <w:lang w:val="mn-MN"/>
        </w:rPr>
      </w:pPr>
      <w:r w:rsidRPr="00C66985">
        <w:rPr>
          <w:rFonts w:ascii="Times New Roman" w:eastAsia="나눔고딕"/>
          <w:b/>
          <w:sz w:val="24"/>
          <w:lang w:val="mn-MN"/>
        </w:rPr>
        <w:t xml:space="preserve">Тойм </w:t>
      </w:r>
    </w:p>
    <w:tbl>
      <w:tblPr>
        <w:tblW w:w="9516" w:type="dxa"/>
        <w:tblBorders>
          <w:top w:val="dotted" w:sz="4" w:space="0" w:color="auto"/>
          <w:bottom w:val="dotted" w:sz="4" w:space="0" w:color="auto"/>
          <w:insideH w:val="dotted" w:sz="4" w:space="0" w:color="auto"/>
          <w:insideV w:val="dotted" w:sz="4" w:space="0" w:color="auto"/>
        </w:tblBorders>
        <w:tblLook w:val="04A0"/>
      </w:tblPr>
      <w:tblGrid>
        <w:gridCol w:w="1366"/>
        <w:gridCol w:w="2618"/>
        <w:gridCol w:w="5532"/>
      </w:tblGrid>
      <w:tr w:rsidR="00402222" w:rsidRPr="00C66985" w:rsidTr="003B70DC">
        <w:trPr>
          <w:trHeight w:val="298"/>
        </w:trPr>
        <w:tc>
          <w:tcPr>
            <w:tcW w:w="1320" w:type="dxa"/>
            <w:shd w:val="clear" w:color="auto" w:fill="C6D9F1" w:themeFill="text2" w:themeFillTint="33"/>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Хугацаа</w:t>
            </w:r>
          </w:p>
        </w:tc>
        <w:tc>
          <w:tcPr>
            <w:tcW w:w="8196" w:type="dxa"/>
            <w:gridSpan w:val="2"/>
            <w:shd w:val="clear" w:color="auto" w:fill="auto"/>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2012-07-24 ~ 2012-07-27</w:t>
            </w:r>
          </w:p>
        </w:tc>
      </w:tr>
      <w:tr w:rsidR="00402222" w:rsidRPr="00C66985" w:rsidTr="003B70DC">
        <w:trPr>
          <w:trHeight w:val="476"/>
        </w:trPr>
        <w:tc>
          <w:tcPr>
            <w:tcW w:w="1320" w:type="dxa"/>
            <w:shd w:val="clear" w:color="auto" w:fill="C6D9F1" w:themeFill="text2" w:themeFillTint="33"/>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Газар</w:t>
            </w:r>
          </w:p>
        </w:tc>
        <w:tc>
          <w:tcPr>
            <w:tcW w:w="8196" w:type="dxa"/>
            <w:gridSpan w:val="2"/>
            <w:shd w:val="clear" w:color="auto" w:fill="auto"/>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Бүгд Найрамдах Хятад Ард Улс &gt; Ниншя Хуйн ӨЗО</w:t>
            </w:r>
          </w:p>
        </w:tc>
      </w:tr>
      <w:tr w:rsidR="00402222" w:rsidRPr="00C66985" w:rsidTr="003B70DC">
        <w:trPr>
          <w:trHeight w:val="298"/>
        </w:trPr>
        <w:tc>
          <w:tcPr>
            <w:tcW w:w="1320" w:type="dxa"/>
            <w:shd w:val="clear" w:color="auto" w:fill="C6D9F1" w:themeFill="text2" w:themeFillTint="33"/>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Зохион байгуулсан</w:t>
            </w:r>
          </w:p>
        </w:tc>
        <w:tc>
          <w:tcPr>
            <w:tcW w:w="8196" w:type="dxa"/>
            <w:gridSpan w:val="2"/>
            <w:tcBorders>
              <w:bottom w:val="dotted" w:sz="4" w:space="0" w:color="auto"/>
            </w:tcBorders>
            <w:shd w:val="clear" w:color="auto" w:fill="auto"/>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Бүгд Найрамдах Хятад Ард Улс &gt; Ниншя Хуйн ӨЗО, ЗХАБНЗЗ Холбооны Хэрэг эрхлэх газар</w:t>
            </w:r>
          </w:p>
        </w:tc>
      </w:tr>
      <w:tr w:rsidR="00402222" w:rsidRPr="00C66985" w:rsidTr="003B70DC">
        <w:trPr>
          <w:trHeight w:val="298"/>
        </w:trPr>
        <w:tc>
          <w:tcPr>
            <w:tcW w:w="1320" w:type="dxa"/>
            <w:vMerge w:val="restart"/>
            <w:tcBorders>
              <w:right w:val="dotted" w:sz="4" w:space="0" w:color="auto"/>
            </w:tcBorders>
            <w:shd w:val="clear" w:color="auto" w:fill="C6D9F1" w:themeFill="text2" w:themeFillTint="33"/>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Оролцсон байдал</w:t>
            </w:r>
          </w:p>
        </w:tc>
        <w:tc>
          <w:tcPr>
            <w:tcW w:w="8196" w:type="dxa"/>
            <w:gridSpan w:val="2"/>
            <w:tcBorders>
              <w:left w:val="dotted" w:sz="4" w:space="0" w:color="auto"/>
            </w:tcBorders>
            <w:shd w:val="clear" w:color="auto" w:fill="auto"/>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5 улсын 37 байгууллага</w:t>
            </w:r>
          </w:p>
        </w:tc>
      </w:tr>
      <w:tr w:rsidR="00402222" w:rsidRPr="00C66985" w:rsidTr="003B70DC">
        <w:trPr>
          <w:trHeight w:val="298"/>
        </w:trPr>
        <w:tc>
          <w:tcPr>
            <w:tcW w:w="1320" w:type="dxa"/>
            <w:vMerge/>
            <w:tcBorders>
              <w:right w:val="dotted" w:sz="4" w:space="0" w:color="auto"/>
            </w:tcBorders>
            <w:shd w:val="clear" w:color="auto" w:fill="C6D9F1" w:themeFill="text2" w:themeFillTint="33"/>
          </w:tcPr>
          <w:p w:rsidR="00402222" w:rsidRPr="00C66985" w:rsidRDefault="00402222"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 xml:space="preserve">БНХАУ                  </w:t>
            </w:r>
          </w:p>
        </w:tc>
        <w:tc>
          <w:tcPr>
            <w:tcW w:w="5564" w:type="dxa"/>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Хэйлонжан муж, Хубэй муж, Ниншя Хуйн ӨЗО, Шаньдун муж, Хэнан муж, Шаньси муж, Шааньси муж, Тяньжин хот/ажиглагчаар оролцсон, Чинхай муж, Жилинь муж/гишүүн бус орон нутаг</w:t>
            </w:r>
          </w:p>
        </w:tc>
      </w:tr>
      <w:tr w:rsidR="00402222" w:rsidRPr="00C66985" w:rsidTr="003B70DC">
        <w:trPr>
          <w:trHeight w:val="298"/>
        </w:trPr>
        <w:tc>
          <w:tcPr>
            <w:tcW w:w="1320" w:type="dxa"/>
            <w:vMerge/>
            <w:tcBorders>
              <w:right w:val="dotted" w:sz="4" w:space="0" w:color="auto"/>
            </w:tcBorders>
            <w:shd w:val="clear" w:color="auto" w:fill="C6D9F1" w:themeFill="text2" w:themeFillTint="33"/>
          </w:tcPr>
          <w:p w:rsidR="00402222" w:rsidRPr="00C66985" w:rsidRDefault="00402222"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Япон улс</w:t>
            </w:r>
          </w:p>
        </w:tc>
        <w:tc>
          <w:tcPr>
            <w:tcW w:w="5564" w:type="dxa"/>
            <w:tcBorders>
              <w:lef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 xml:space="preserve">Нигата муж, Тояама муж, Хёго муж, Шиманэ муж, </w:t>
            </w:r>
          </w:p>
        </w:tc>
      </w:tr>
      <w:tr w:rsidR="00402222" w:rsidRPr="00C66985" w:rsidTr="003B70DC">
        <w:trPr>
          <w:trHeight w:val="298"/>
        </w:trPr>
        <w:tc>
          <w:tcPr>
            <w:tcW w:w="1320" w:type="dxa"/>
            <w:vMerge/>
            <w:tcBorders>
              <w:right w:val="dotted" w:sz="4" w:space="0" w:color="auto"/>
            </w:tcBorders>
            <w:shd w:val="clear" w:color="auto" w:fill="C6D9F1" w:themeFill="text2" w:themeFillTint="33"/>
          </w:tcPr>
          <w:p w:rsidR="00402222" w:rsidRPr="00C66985" w:rsidRDefault="00402222"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БНСУ</w:t>
            </w:r>
          </w:p>
        </w:tc>
        <w:tc>
          <w:tcPr>
            <w:tcW w:w="5564" w:type="dxa"/>
            <w:tcBorders>
              <w:bottom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Кёнги муж, Чүнчоннам муж, Чүнчонбүг муж, Жолланам муж, Жоллабүг муж, Кёнсанбүг муж, Кёнсаннам муж, Жэжү муж, Пусан хот, Дэгү хот, Ульсан хот.</w:t>
            </w:r>
          </w:p>
        </w:tc>
      </w:tr>
      <w:tr w:rsidR="00402222" w:rsidRPr="00C66985" w:rsidTr="003B70DC">
        <w:trPr>
          <w:trHeight w:val="298"/>
        </w:trPr>
        <w:tc>
          <w:tcPr>
            <w:tcW w:w="1320" w:type="dxa"/>
            <w:vMerge/>
            <w:tcBorders>
              <w:right w:val="dotted" w:sz="4" w:space="0" w:color="auto"/>
            </w:tcBorders>
            <w:shd w:val="clear" w:color="auto" w:fill="C6D9F1" w:themeFill="text2" w:themeFillTint="33"/>
          </w:tcPr>
          <w:p w:rsidR="00402222" w:rsidRPr="00C66985" w:rsidRDefault="00402222"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Монгол улс</w:t>
            </w:r>
          </w:p>
        </w:tc>
        <w:tc>
          <w:tcPr>
            <w:tcW w:w="5564" w:type="dxa"/>
            <w:tcBorders>
              <w:lef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Хэнтий аймаг, Булган аймаг, Өвөрхангай аймаг, Баянхонгор аймаг, Хөвсгөл аймаг, Баянөлгий аймаг, Орхон аймаг</w:t>
            </w:r>
          </w:p>
        </w:tc>
      </w:tr>
      <w:tr w:rsidR="00402222" w:rsidRPr="00C66985" w:rsidTr="003B70DC">
        <w:trPr>
          <w:trHeight w:val="298"/>
        </w:trPr>
        <w:tc>
          <w:tcPr>
            <w:tcW w:w="1320" w:type="dxa"/>
            <w:vMerge/>
            <w:tcBorders>
              <w:right w:val="dotted" w:sz="4" w:space="0" w:color="auto"/>
            </w:tcBorders>
            <w:shd w:val="clear" w:color="auto" w:fill="C6D9F1" w:themeFill="text2" w:themeFillTint="33"/>
          </w:tcPr>
          <w:p w:rsidR="00402222" w:rsidRPr="00C66985" w:rsidRDefault="00402222"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ОХУ</w:t>
            </w:r>
          </w:p>
        </w:tc>
        <w:tc>
          <w:tcPr>
            <w:tcW w:w="5564" w:type="dxa"/>
            <w:tcBorders>
              <w:left w:val="dotted" w:sz="4" w:space="0" w:color="auto"/>
            </w:tcBorders>
            <w:shd w:val="clear" w:color="auto" w:fill="auto"/>
            <w:vAlign w:val="center"/>
          </w:tcPr>
          <w:p w:rsidR="00402222" w:rsidRPr="00C66985" w:rsidRDefault="00402222" w:rsidP="003B70DC">
            <w:pPr>
              <w:rPr>
                <w:rFonts w:ascii="Times New Roman" w:eastAsia="나눔고딕"/>
                <w:sz w:val="24"/>
                <w:lang w:val="mn-MN"/>
              </w:rPr>
            </w:pPr>
            <w:r w:rsidRPr="00C66985">
              <w:rPr>
                <w:rFonts w:ascii="Times New Roman" w:eastAsia="나눔고딕"/>
                <w:sz w:val="24"/>
                <w:lang w:val="mn-MN"/>
              </w:rPr>
              <w:t>Хабаровск хязгаар, Забайкаль хязгаар</w:t>
            </w:r>
          </w:p>
        </w:tc>
      </w:tr>
    </w:tbl>
    <w:p w:rsidR="00402222" w:rsidRPr="00C66985" w:rsidRDefault="00402222" w:rsidP="00402222">
      <w:pPr>
        <w:rPr>
          <w:rFonts w:ascii="Times New Roman" w:eastAsia="나눔고딕"/>
          <w:sz w:val="24"/>
          <w:lang w:val="mn-MN"/>
        </w:rPr>
      </w:pPr>
    </w:p>
    <w:p w:rsidR="00402222" w:rsidRPr="00C66985" w:rsidRDefault="00402222" w:rsidP="00402222">
      <w:pPr>
        <w:pStyle w:val="a4"/>
        <w:numPr>
          <w:ilvl w:val="0"/>
          <w:numId w:val="1"/>
        </w:numPr>
        <w:ind w:leftChars="0"/>
        <w:rPr>
          <w:rFonts w:ascii="Times New Roman" w:eastAsia="나눔고딕"/>
          <w:sz w:val="24"/>
          <w:lang w:val="mn-MN"/>
        </w:rPr>
      </w:pPr>
      <w:r w:rsidRPr="00C66985">
        <w:rPr>
          <w:rFonts w:ascii="Times New Roman" w:eastAsia="나눔고딕"/>
          <w:b/>
          <w:sz w:val="24"/>
          <w:lang w:val="mn-MN"/>
        </w:rPr>
        <w:t>Агуулга</w:t>
      </w:r>
    </w:p>
    <w:tbl>
      <w:tblPr>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402222" w:rsidRPr="00C66985" w:rsidTr="003B70DC">
        <w:trPr>
          <w:trHeight w:val="1526"/>
        </w:trPr>
        <w:tc>
          <w:tcPr>
            <w:tcW w:w="9242" w:type="dxa"/>
          </w:tcPr>
          <w:tbl>
            <w:tblPr>
              <w:tblW w:w="9160" w:type="dxa"/>
              <w:tblCellSpacing w:w="0" w:type="dxa"/>
              <w:tblCellMar>
                <w:left w:w="0" w:type="dxa"/>
                <w:right w:w="0" w:type="dxa"/>
              </w:tblCellMar>
              <w:tblLook w:val="04A0"/>
            </w:tblPr>
            <w:tblGrid>
              <w:gridCol w:w="9160"/>
            </w:tblGrid>
            <w:tr w:rsidR="00402222" w:rsidRPr="00C66985" w:rsidTr="003B70DC">
              <w:trPr>
                <w:trHeight w:val="416"/>
                <w:tblCellSpacing w:w="0" w:type="dxa"/>
              </w:trPr>
              <w:tc>
                <w:tcPr>
                  <w:tcW w:w="0" w:type="auto"/>
                  <w:vAlign w:val="center"/>
                  <w:hideMark/>
                </w:tcPr>
                <w:p w:rsidR="00402222" w:rsidRPr="00C66985" w:rsidRDefault="00402222" w:rsidP="003B70DC">
                  <w:pPr>
                    <w:pStyle w:val="s0"/>
                    <w:spacing w:before="0" w:beforeAutospacing="0" w:after="0" w:afterAutospacing="0" w:line="240" w:lineRule="atLeast"/>
                    <w:jc w:val="both"/>
                    <w:rPr>
                      <w:rFonts w:ascii="Times New Roman" w:eastAsia="나눔고딕" w:hAnsi="Times New Roman" w:cs="Times New Roman"/>
                      <w:b/>
                      <w:lang w:val="mn-MN"/>
                    </w:rPr>
                  </w:pPr>
                  <w:r w:rsidRPr="00C66985">
                    <w:rPr>
                      <w:rFonts w:ascii="Times New Roman" w:eastAsia="나눔고딕" w:hAnsi="나눔고딕" w:cs="Times New Roman"/>
                      <w:b/>
                      <w:lang w:val="mn-MN"/>
                    </w:rPr>
                    <w:t>▷</w:t>
                  </w:r>
                  <w:r w:rsidRPr="00C66985">
                    <w:rPr>
                      <w:rFonts w:ascii="Times New Roman" w:eastAsia="나눔고딕" w:hAnsi="Times New Roman" w:cs="Times New Roman"/>
                      <w:lang w:val="mn-MN"/>
                    </w:rPr>
                    <w:t>2014 онд 10-р Бүгд хурлыг Солонгос улсын Жолланам мужид зохион байгуулахаар хүсэлт гарсан.</w:t>
                  </w:r>
                </w:p>
                <w:p w:rsidR="00402222" w:rsidRPr="00C66985" w:rsidRDefault="00402222" w:rsidP="003B70DC">
                  <w:pPr>
                    <w:rPr>
                      <w:rFonts w:ascii="Times New Roman" w:eastAsia="나눔고딕"/>
                      <w:b/>
                      <w:sz w:val="24"/>
                      <w:lang w:val="mn-MN"/>
                    </w:rPr>
                  </w:pPr>
                  <w:r w:rsidRPr="00C66985">
                    <w:rPr>
                      <w:rFonts w:ascii="Times New Roman" w:eastAsia="나눔고딕" w:hAnsi="나눔고딕"/>
                      <w:b/>
                      <w:sz w:val="24"/>
                      <w:lang w:val="mn-MN"/>
                    </w:rPr>
                    <w:t>▷</w:t>
                  </w:r>
                  <w:r w:rsidRPr="00C66985">
                    <w:rPr>
                      <w:rFonts w:ascii="Times New Roman" w:eastAsia="나눔고딕"/>
                      <w:sz w:val="24"/>
                      <w:lang w:val="mn-MN"/>
                    </w:rPr>
                    <w:t>Солонгос улсын Кёнсанбүг мужаас Холбооны Хэрэг эрхлэх газрыг үргэлжлүүлэн мөн удаан хугацаанд байршуулах тухай хүсэлт тавьсан.</w:t>
                  </w:r>
                </w:p>
                <w:p w:rsidR="00402222" w:rsidRPr="00C66985" w:rsidRDefault="00402222" w:rsidP="003B70DC">
                  <w:pPr>
                    <w:widowControl/>
                    <w:wordWrap/>
                    <w:autoSpaceDE/>
                    <w:autoSpaceDN/>
                    <w:jc w:val="left"/>
                    <w:rPr>
                      <w:rFonts w:ascii="Times New Roman" w:eastAsia="나눔고딕"/>
                      <w:sz w:val="24"/>
                      <w:lang w:val="mn-MN"/>
                    </w:rPr>
                  </w:pPr>
                  <w:r w:rsidRPr="00C66985">
                    <w:rPr>
                      <w:rFonts w:ascii="Times New Roman" w:eastAsia="나눔고딕" w:hAnsi="나눔고딕"/>
                      <w:b/>
                      <w:sz w:val="24"/>
                      <w:lang w:val="mn-MN"/>
                    </w:rPr>
                    <w:t>▷</w:t>
                  </w:r>
                  <w:r w:rsidRPr="00C66985">
                    <w:rPr>
                      <w:rFonts w:ascii="Times New Roman" w:eastAsia="나눔고딕"/>
                      <w:kern w:val="0"/>
                      <w:sz w:val="24"/>
                      <w:lang w:val="mn-MN"/>
                    </w:rPr>
                    <w:t xml:space="preserve"> Зүүн хойд Азийн бүсийн эдийн засаг, хамтын ажиллагааны арга замын талаар санал тавьсан/Гуанжү хот</w:t>
                  </w:r>
                  <w:r w:rsidRPr="00C66985">
                    <w:rPr>
                      <w:rFonts w:ascii="Times New Roman" w:eastAsia="나눔고딕"/>
                      <w:sz w:val="24"/>
                      <w:lang w:val="mn-MN"/>
                    </w:rPr>
                    <w:t>.</w:t>
                  </w:r>
                </w:p>
                <w:p w:rsidR="00402222" w:rsidRPr="00C66985" w:rsidRDefault="00402222" w:rsidP="003B70DC">
                  <w:pPr>
                    <w:widowControl/>
                    <w:tabs>
                      <w:tab w:val="num" w:pos="760"/>
                    </w:tabs>
                    <w:wordWrap/>
                    <w:autoSpaceDE/>
                    <w:autoSpaceDN/>
                    <w:spacing w:line="240" w:lineRule="atLeast"/>
                    <w:jc w:val="left"/>
                    <w:rPr>
                      <w:rFonts w:ascii="Times New Roman" w:eastAsia="나눔고딕"/>
                      <w:b/>
                      <w:bCs/>
                      <w:sz w:val="24"/>
                      <w:lang w:val="mn-MN"/>
                    </w:rPr>
                  </w:pPr>
                  <w:r w:rsidRPr="00C66985">
                    <w:rPr>
                      <w:rFonts w:ascii="Times New Roman" w:eastAsia="나눔고딕" w:hAnsi="나눔고딕"/>
                      <w:b/>
                      <w:sz w:val="24"/>
                      <w:lang w:val="mn-MN"/>
                    </w:rPr>
                    <w:t>▷</w:t>
                  </w:r>
                  <w:r w:rsidRPr="00C66985">
                    <w:rPr>
                      <w:rFonts w:ascii="Times New Roman" w:eastAsia="나눔고딕"/>
                      <w:sz w:val="24"/>
                      <w:lang w:val="mn-MN"/>
                    </w:rPr>
                    <w:t>Холбооны Хэрэг эрхлэх газраас залуучуудыг гишүүн орнуудад дадлагажуулах хөтөлбөрийн талаар санал тавьсан/хөтөлбөр(PioNEAR) нэвтрүүлэхийг санал.</w:t>
                  </w:r>
                </w:p>
                <w:p w:rsidR="00402222" w:rsidRPr="00C66985" w:rsidRDefault="00402222" w:rsidP="003B70DC">
                  <w:pPr>
                    <w:pStyle w:val="s0"/>
                    <w:spacing w:before="0" w:beforeAutospacing="0" w:after="0" w:afterAutospacing="0" w:line="240" w:lineRule="atLeast"/>
                    <w:jc w:val="both"/>
                    <w:rPr>
                      <w:rFonts w:ascii="Times New Roman" w:eastAsia="나눔고딕" w:hAnsi="Times New Roman" w:cs="Times New Roman"/>
                      <w:lang w:val="mn-MN"/>
                    </w:rPr>
                  </w:pPr>
                  <w:r w:rsidRPr="00C66985">
                    <w:rPr>
                      <w:rFonts w:ascii="Times New Roman" w:eastAsia="나눔고딕" w:hAnsi="나눔고딕" w:cs="Times New Roman"/>
                      <w:b/>
                      <w:lang w:val="mn-MN"/>
                    </w:rPr>
                    <w:t>▷</w:t>
                  </w:r>
                  <w:r w:rsidRPr="00C66985">
                    <w:rPr>
                      <w:rFonts w:ascii="Times New Roman" w:eastAsia="나눔고딕" w:hAnsi="Times New Roman" w:cs="Times New Roman"/>
                      <w:lang w:val="mn-MN"/>
                    </w:rPr>
                    <w:t>Холбооны Хэрэг эрхлэх газраас гишүүний хураамж нэвтрүүлэх талаар санал тавьсан.</w:t>
                  </w:r>
                </w:p>
              </w:tc>
            </w:tr>
          </w:tbl>
          <w:p w:rsidR="00402222" w:rsidRPr="00C66985" w:rsidRDefault="00402222" w:rsidP="003B70DC">
            <w:pPr>
              <w:rPr>
                <w:rFonts w:ascii="Times New Roman" w:eastAsia="나눔고딕"/>
                <w:sz w:val="24"/>
                <w:lang w:val="mn-MN"/>
              </w:rPr>
            </w:pPr>
          </w:p>
        </w:tc>
      </w:tr>
    </w:tbl>
    <w:p w:rsidR="00402222" w:rsidRPr="00C66985" w:rsidRDefault="00402222" w:rsidP="00402222">
      <w:pPr>
        <w:rPr>
          <w:rFonts w:ascii="Times New Roman" w:eastAsia="나눔고딕"/>
          <w:sz w:val="24"/>
          <w:lang w:val="mn-MN"/>
        </w:rPr>
      </w:pPr>
    </w:p>
    <w:p w:rsidR="00402222" w:rsidRPr="00C66985" w:rsidRDefault="00402222" w:rsidP="00402222">
      <w:pPr>
        <w:pStyle w:val="a4"/>
        <w:numPr>
          <w:ilvl w:val="0"/>
          <w:numId w:val="1"/>
        </w:numPr>
        <w:ind w:leftChars="0"/>
        <w:rPr>
          <w:rFonts w:ascii="Times New Roman" w:eastAsia="나눔고딕"/>
          <w:sz w:val="24"/>
          <w:lang w:val="mn-MN"/>
        </w:rPr>
      </w:pPr>
      <w:r w:rsidRPr="00C66985">
        <w:rPr>
          <w:rFonts w:ascii="Times New Roman" w:eastAsia="나눔고딕"/>
          <w:b/>
          <w:bCs/>
          <w:kern w:val="0"/>
          <w:sz w:val="24"/>
          <w:lang w:val="mn-MN"/>
        </w:rPr>
        <w:t>Ниншягийн тунхаг</w:t>
      </w: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2012 оны 7 сарын 24-ний өдрөөс 27-ны өдрийг хүртэл Хятад улсын Ниншя Хуйн ӨЗО-ны Инчүан хотноо ЗХАБНЗЗХ-ны 9-р Бүгд хурал зохиогдлоо.</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Хуралд Монгол улс, ОХУ, БНХАУ, БНСУ, Япон улсын гишүүн орон нутаг болон ажиглагч, гишүүн бус орон нутаг, БНАСАУ болон БНСУ-аас Хятад улсад суугаа дипломат төлөөлөгчид оролцлоо.</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9-р Бүгд хурлын төлөөлөгчид “Хамтын ажиллагааг гүнзгийрүүлэн хамтдаа хөгжин дэвжицгээе” хэмээх сэдвээр хуралдаж санал бодлоо солилцов. Хурлаар тавигдсан төрөл бүрийн илтгэл, хэлсэн үгнээс эв нэгдэл ба хамтын хөгжил дэвшлийн үзэл санаа бүс нутгийн хамтын ажиллагаа, хөгжилд нөлөөлөхийн чухлыг ухамсарласан.</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Бид даяаршил ба бүс нутгийн интеграцийн эрин үеийг угтаж, бүс нутгийн харилцаа, хамтын ажиллагаагаар хамтдаа хөгжин дэвжих түүхэн үүрэг хүлээхэд санал нэгдсэн.</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ЗХАБНЗЗХ-ны гишүүн орон нутгууд эдийн засаг, байгаль орчин, соёл, гамшгаас сэргийлэх, шинжлэх ухаан, технологи, хүүхэд эмэгтэйчүүд, боловсрол зэрэг төрөл бүрийн салбарт идэвхтэй харилцаа, хамтын ажиллагааг өрнүүлж, чамгүй үр дүнд хүрсэн бөгөөд цаашид илүү идэвхтэй оролцоо, дэмжлэгээр итгэлцэл, харилцан ашигтайгаар хөгжих эв нэгдлийн Зүүн хойд Азийг бүтээнэ.</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 xml:space="preserve">9-р Бүгд хурлын төлөөлөгчид хурлын төгсгөлд “Ниншягийн тунхаг-ийг гарган бүс нутгийн хөгжлийн хамтын зорилтыг гаргасан. Үүнд : </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 Холбооны бодит хамтын ажиллагааг бэхжүүлнэ : Холбооны нөлөөлөх хүчээр бүсийн энхтайван, хөгжил дэвшлийг бий болгоход их үүрэг гүйцэтгэнэ.</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 Орон нутгийн захиргаадын оролцоог идэвхжүүлнэ : Зүүн хойд Азийн энхтайван ба тогтвортой хөгжлийн тулд гишүүн орон нутаг төдийгүй гишүүн бус орон нутгийн оролцоог дэмжиж, нээлттэй Зүүн хойд Азийг байгуулахыг хичээнэ.</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 Бүсийн давуу талыг харилцан нөхөн хамтын ажиллагаа, хөгжил цэцэглэлтийг эрэлхийлнэ : Шинэ мянганы 10 жилийн турш орон нутгууд эдийн засгийн хамтын ажиллагааны жишиг бүсийг байгуулж, ногоон эдийн засаг, эрчим хүч хэмнэх, байгаль орчин хамгаалах, уур амьсгалын өөрчлөлт, цөлжилтөөс сэргийлэх, ажилгүйдлийг арилгах зэрэг нийтлэг чиглэл салбарт хамтын ажиллагааг бэхжүүлж, бүсийн тогтвортой хөгжлийг идэвхжүүлнэ.</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 Бид т</w:t>
      </w:r>
      <w:r w:rsidRPr="00C66985">
        <w:rPr>
          <w:rFonts w:ascii="Times New Roman" w:eastAsia="MS Mincho"/>
          <w:sz w:val="24"/>
          <w:lang w:val="mn-MN"/>
        </w:rPr>
        <w:t>үү</w:t>
      </w:r>
      <w:r w:rsidRPr="00C66985">
        <w:rPr>
          <w:rFonts w:ascii="Times New Roman" w:eastAsia="맑은 고딕"/>
          <w:sz w:val="24"/>
          <w:lang w:val="mn-MN"/>
        </w:rPr>
        <w:t>хэн</w:t>
      </w:r>
      <w:r w:rsidRPr="00C66985">
        <w:rPr>
          <w:rFonts w:ascii="Times New Roman" w:eastAsia="나눔고딕"/>
          <w:sz w:val="24"/>
          <w:lang w:val="mn-MN"/>
        </w:rPr>
        <w:t xml:space="preserve"> шинэ зарчмаар харилцан итгэлцэл, дэмжлэг, хамтын ажиллагаа б</w:t>
      </w:r>
      <w:r w:rsidRPr="00C66985">
        <w:rPr>
          <w:rFonts w:ascii="Times New Roman" w:eastAsia="MS Mincho"/>
          <w:sz w:val="24"/>
          <w:lang w:val="mn-MN"/>
        </w:rPr>
        <w:t>ү</w:t>
      </w:r>
      <w:r w:rsidRPr="00C66985">
        <w:rPr>
          <w:rFonts w:ascii="Times New Roman" w:eastAsia="맑은 고딕"/>
          <w:sz w:val="24"/>
          <w:lang w:val="mn-MN"/>
        </w:rPr>
        <w:t>сийн</w:t>
      </w:r>
      <w:r w:rsidRPr="00C66985">
        <w:rPr>
          <w:rFonts w:ascii="Times New Roman" w:eastAsia="나눔고딕"/>
          <w:sz w:val="24"/>
          <w:lang w:val="mn-MN"/>
        </w:rPr>
        <w:t xml:space="preserve"> х</w:t>
      </w:r>
      <w:r w:rsidRPr="00C66985">
        <w:rPr>
          <w:rFonts w:ascii="Times New Roman" w:eastAsia="MS Mincho"/>
          <w:sz w:val="24"/>
          <w:lang w:val="mn-MN"/>
        </w:rPr>
        <w:t>ө</w:t>
      </w:r>
      <w:r w:rsidRPr="00C66985">
        <w:rPr>
          <w:rFonts w:ascii="Times New Roman" w:eastAsia="맑은 고딕"/>
          <w:sz w:val="24"/>
          <w:lang w:val="mn-MN"/>
        </w:rPr>
        <w:t>гжлийг</w:t>
      </w:r>
      <w:r w:rsidRPr="00C66985">
        <w:rPr>
          <w:rFonts w:ascii="Times New Roman" w:eastAsia="나눔고딕"/>
          <w:sz w:val="24"/>
          <w:lang w:val="mn-MN"/>
        </w:rPr>
        <w:t xml:space="preserve"> идэвхж</w:t>
      </w:r>
      <w:r w:rsidRPr="00C66985">
        <w:rPr>
          <w:rFonts w:ascii="Times New Roman" w:eastAsia="MS Mincho"/>
          <w:sz w:val="24"/>
          <w:lang w:val="mn-MN"/>
        </w:rPr>
        <w:t>үү</w:t>
      </w:r>
      <w:r w:rsidRPr="00C66985">
        <w:rPr>
          <w:rFonts w:ascii="Times New Roman" w:eastAsia="맑은 고딕"/>
          <w:sz w:val="24"/>
          <w:lang w:val="mn-MN"/>
        </w:rPr>
        <w:t>лэх</w:t>
      </w:r>
      <w:r w:rsidRPr="00C66985">
        <w:rPr>
          <w:rFonts w:ascii="Times New Roman" w:eastAsia="나눔고딕"/>
          <w:sz w:val="24"/>
          <w:lang w:val="mn-MN"/>
        </w:rPr>
        <w:t>, нийтдээ х</w:t>
      </w:r>
      <w:r w:rsidRPr="00C66985">
        <w:rPr>
          <w:rFonts w:ascii="Times New Roman" w:eastAsia="MS Mincho"/>
          <w:sz w:val="24"/>
          <w:lang w:val="mn-MN"/>
        </w:rPr>
        <w:t>ө</w:t>
      </w:r>
      <w:r w:rsidRPr="00C66985">
        <w:rPr>
          <w:rFonts w:ascii="Times New Roman" w:eastAsia="맑은 고딕"/>
          <w:sz w:val="24"/>
          <w:lang w:val="mn-MN"/>
        </w:rPr>
        <w:t>гжих</w:t>
      </w:r>
      <w:r w:rsidRPr="00C66985">
        <w:rPr>
          <w:rFonts w:ascii="Times New Roman" w:eastAsia="MS Mincho"/>
          <w:sz w:val="24"/>
          <w:lang w:val="mn-MN"/>
        </w:rPr>
        <w:t>ө</w:t>
      </w:r>
      <w:r w:rsidRPr="00C66985">
        <w:rPr>
          <w:rFonts w:ascii="Times New Roman" w:eastAsia="맑은 고딕"/>
          <w:sz w:val="24"/>
          <w:lang w:val="mn-MN"/>
        </w:rPr>
        <w:t>д</w:t>
      </w:r>
      <w:r w:rsidRPr="00C66985">
        <w:rPr>
          <w:rFonts w:ascii="Times New Roman" w:eastAsia="나눔고딕"/>
          <w:sz w:val="24"/>
          <w:lang w:val="mn-MN"/>
        </w:rPr>
        <w:t xml:space="preserve"> н</w:t>
      </w:r>
      <w:r w:rsidRPr="00C66985">
        <w:rPr>
          <w:rFonts w:ascii="Times New Roman" w:eastAsia="MS Mincho"/>
          <w:sz w:val="24"/>
          <w:lang w:val="mn-MN"/>
        </w:rPr>
        <w:t>ө</w:t>
      </w:r>
      <w:r w:rsidRPr="00C66985">
        <w:rPr>
          <w:rFonts w:ascii="Times New Roman" w:eastAsia="맑은 고딕"/>
          <w:sz w:val="24"/>
          <w:lang w:val="mn-MN"/>
        </w:rPr>
        <w:t>л</w:t>
      </w:r>
      <w:r w:rsidRPr="00C66985">
        <w:rPr>
          <w:rFonts w:ascii="Times New Roman" w:eastAsia="MS Mincho"/>
          <w:sz w:val="24"/>
          <w:lang w:val="mn-MN"/>
        </w:rPr>
        <w:t>өө</w:t>
      </w:r>
      <w:r w:rsidRPr="00C66985">
        <w:rPr>
          <w:rFonts w:ascii="Times New Roman" w:eastAsia="맑은 고딕"/>
          <w:sz w:val="24"/>
          <w:lang w:val="mn-MN"/>
        </w:rPr>
        <w:t>л</w:t>
      </w:r>
      <w:r w:rsidRPr="00C66985">
        <w:rPr>
          <w:rFonts w:ascii="Times New Roman" w:eastAsia="MS Mincho"/>
          <w:sz w:val="24"/>
          <w:lang w:val="mn-MN"/>
        </w:rPr>
        <w:t>ө</w:t>
      </w:r>
      <w:r w:rsidRPr="00C66985">
        <w:rPr>
          <w:rFonts w:ascii="Times New Roman" w:eastAsia="맑은 고딕"/>
          <w:sz w:val="24"/>
          <w:lang w:val="mn-MN"/>
        </w:rPr>
        <w:t>х</w:t>
      </w:r>
      <w:r w:rsidRPr="00C66985">
        <w:rPr>
          <w:rFonts w:ascii="Times New Roman" w:eastAsia="나눔고딕"/>
          <w:sz w:val="24"/>
          <w:lang w:val="mn-MN"/>
        </w:rPr>
        <w:t xml:space="preserve"> нь чухал болохыг ухамсарлан, Холбооны нийт гиш</w:t>
      </w:r>
      <w:r w:rsidRPr="00C66985">
        <w:rPr>
          <w:rFonts w:ascii="Times New Roman" w:eastAsia="MS Mincho"/>
          <w:sz w:val="24"/>
          <w:lang w:val="mn-MN"/>
        </w:rPr>
        <w:t>үү</w:t>
      </w:r>
      <w:r w:rsidRPr="00C66985">
        <w:rPr>
          <w:rFonts w:ascii="Times New Roman" w:eastAsia="맑은 고딕"/>
          <w:sz w:val="24"/>
          <w:lang w:val="mn-MN"/>
        </w:rPr>
        <w:t>н</w:t>
      </w:r>
      <w:r w:rsidRPr="00C66985">
        <w:rPr>
          <w:rFonts w:ascii="Times New Roman" w:eastAsia="나눔고딕"/>
          <w:sz w:val="24"/>
          <w:lang w:val="mn-MN"/>
        </w:rPr>
        <w:t xml:space="preserve"> орон нутгууд эв нэгдэл, хамтын ажиллагааны тулд дээрх нийтлэг  санааны “Ниншягийн тунхаг”-ийг хичээнг</w:t>
      </w:r>
      <w:r w:rsidRPr="00C66985">
        <w:rPr>
          <w:rFonts w:ascii="Times New Roman" w:eastAsia="MS Mincho"/>
          <w:sz w:val="24"/>
          <w:lang w:val="mn-MN"/>
        </w:rPr>
        <w:t>ү</w:t>
      </w:r>
      <w:r w:rsidRPr="00C66985">
        <w:rPr>
          <w:rFonts w:ascii="Times New Roman" w:eastAsia="맑은 고딕"/>
          <w:sz w:val="24"/>
          <w:lang w:val="mn-MN"/>
        </w:rPr>
        <w:t>йлэн</w:t>
      </w:r>
      <w:r w:rsidRPr="00C66985">
        <w:rPr>
          <w:rFonts w:ascii="Times New Roman" w:eastAsia="나눔고딕"/>
          <w:sz w:val="24"/>
          <w:lang w:val="mn-MN"/>
        </w:rPr>
        <w:t xml:space="preserve"> хэрэгж</w:t>
      </w:r>
      <w:r w:rsidRPr="00C66985">
        <w:rPr>
          <w:rFonts w:ascii="Times New Roman" w:eastAsia="MS Mincho"/>
          <w:sz w:val="24"/>
          <w:lang w:val="mn-MN"/>
        </w:rPr>
        <w:t>үү</w:t>
      </w:r>
      <w:r w:rsidRPr="00C66985">
        <w:rPr>
          <w:rFonts w:ascii="Times New Roman" w:eastAsia="맑은 고딕"/>
          <w:sz w:val="24"/>
          <w:lang w:val="mn-MN"/>
        </w:rPr>
        <w:t>лэхээр</w:t>
      </w:r>
      <w:r w:rsidRPr="00C66985">
        <w:rPr>
          <w:rFonts w:ascii="Times New Roman" w:eastAsia="나눔고딕"/>
          <w:sz w:val="24"/>
          <w:lang w:val="mn-MN"/>
        </w:rPr>
        <w:t xml:space="preserve"> шийдвэрлэв. </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Хавсралт: “Ниншягийн тунхаг” үйл ажиллагааны зорилт</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jc w:val="center"/>
        <w:rPr>
          <w:rFonts w:ascii="Times New Roman" w:eastAsia="나눔고딕"/>
          <w:b/>
          <w:sz w:val="24"/>
          <w:lang w:val="mn-MN"/>
        </w:rPr>
      </w:pPr>
      <w:r w:rsidRPr="00C66985">
        <w:rPr>
          <w:rFonts w:ascii="Times New Roman" w:eastAsia="나눔고딕"/>
          <w:b/>
          <w:sz w:val="24"/>
          <w:lang w:val="mn-MN"/>
        </w:rPr>
        <w:t>“Ниншягийн тунхаг” үйл ажиллагааны зорилт</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widowControl/>
        <w:wordWrap/>
        <w:autoSpaceDE/>
        <w:autoSpaceDN/>
        <w:spacing w:line="240" w:lineRule="atLeast"/>
        <w:rPr>
          <w:rFonts w:ascii="Times New Roman" w:eastAsia="나눔고딕"/>
          <w:sz w:val="24"/>
          <w:lang w:val="mn-MN"/>
        </w:rPr>
      </w:pPr>
      <w:r w:rsidRPr="00C66985">
        <w:rPr>
          <w:rFonts w:ascii="Times New Roman" w:eastAsia="나눔고딕"/>
          <w:sz w:val="24"/>
          <w:lang w:val="mn-MN"/>
        </w:rPr>
        <w:t>ЗХАБНЗЗХ-ны 9-р Бүгд хурлаас гарсан нийтлэг санаа ба тунхагийг хэрэгжүүлэхийн тулд дараах үйл ажиллагааны дараах зорилтыг тавьж байна.</w:t>
      </w:r>
    </w:p>
    <w:p w:rsidR="00402222" w:rsidRPr="00C66985" w:rsidRDefault="00402222" w:rsidP="00402222">
      <w:pPr>
        <w:widowControl/>
        <w:wordWrap/>
        <w:autoSpaceDE/>
        <w:autoSpaceDN/>
        <w:spacing w:line="240" w:lineRule="atLeast"/>
        <w:rPr>
          <w:rFonts w:ascii="Times New Roman" w:eastAsia="나눔고딕"/>
          <w:sz w:val="24"/>
          <w:lang w:val="mn-MN"/>
        </w:rPr>
      </w:pPr>
    </w:p>
    <w:p w:rsidR="00402222" w:rsidRPr="00C66985" w:rsidRDefault="00402222" w:rsidP="00402222">
      <w:pPr>
        <w:pStyle w:val="a4"/>
        <w:numPr>
          <w:ilvl w:val="0"/>
          <w:numId w:val="4"/>
        </w:numPr>
        <w:ind w:leftChars="0"/>
        <w:rPr>
          <w:rFonts w:ascii="Times New Roman"/>
          <w:sz w:val="24"/>
          <w:lang w:val="mn-MN"/>
        </w:rPr>
      </w:pPr>
      <w:r w:rsidRPr="00C66985">
        <w:rPr>
          <w:rFonts w:ascii="Times New Roman" w:eastAsia="나눔고딕"/>
          <w:sz w:val="24"/>
          <w:lang w:val="mn-MN"/>
        </w:rPr>
        <w:t xml:space="preserve">1. </w:t>
      </w:r>
      <w:r w:rsidRPr="00C66985">
        <w:rPr>
          <w:rFonts w:ascii="Times New Roman"/>
          <w:sz w:val="24"/>
          <w:lang w:val="mn-MN"/>
        </w:rPr>
        <w:t>2014 онд 10-р Бүгд хурлыг Солонгос улсын Жолланам мужид зохион байгуулахаар шийдвэрлэсэн.</w:t>
      </w:r>
    </w:p>
    <w:p w:rsidR="00402222" w:rsidRPr="00C66985" w:rsidRDefault="00402222" w:rsidP="00402222">
      <w:pPr>
        <w:pStyle w:val="a4"/>
        <w:numPr>
          <w:ilvl w:val="0"/>
          <w:numId w:val="4"/>
        </w:numPr>
        <w:ind w:leftChars="0"/>
        <w:rPr>
          <w:rFonts w:ascii="Times New Roman"/>
          <w:sz w:val="24"/>
          <w:lang w:val="mn-MN"/>
        </w:rPr>
      </w:pPr>
      <w:r w:rsidRPr="00C66985">
        <w:rPr>
          <w:rFonts w:ascii="Times New Roman"/>
          <w:sz w:val="24"/>
          <w:lang w:val="mn-MN"/>
        </w:rPr>
        <w:t>Солонгос улсын Кёнсанбүг мужаас Холбооны Хэрэг эрхлэх газрыг үргэлжлүүлэн мөн удаан хугацаанд байршуулах тухай шийдвэрлэсэн.</w:t>
      </w:r>
    </w:p>
    <w:p w:rsidR="00402222" w:rsidRPr="00C66985" w:rsidRDefault="00402222" w:rsidP="00402222">
      <w:pPr>
        <w:pStyle w:val="a4"/>
        <w:numPr>
          <w:ilvl w:val="0"/>
          <w:numId w:val="4"/>
        </w:numPr>
        <w:ind w:leftChars="0"/>
        <w:rPr>
          <w:rFonts w:ascii="Times New Roman"/>
          <w:sz w:val="24"/>
          <w:lang w:val="mn-MN"/>
        </w:rPr>
      </w:pPr>
      <w:r w:rsidRPr="00C66985">
        <w:rPr>
          <w:rFonts w:ascii="Times New Roman"/>
          <w:sz w:val="24"/>
          <w:lang w:val="mn-MN"/>
        </w:rPr>
        <w:t>Солонгос улсын Сэжун хотоос Холбоонд гишүүнээр элсэх хүсэлтийг шийдвэрлэсэн.</w:t>
      </w:r>
    </w:p>
    <w:p w:rsidR="00402222" w:rsidRPr="00C66985" w:rsidRDefault="00402222" w:rsidP="00402222">
      <w:pPr>
        <w:pStyle w:val="a4"/>
        <w:numPr>
          <w:ilvl w:val="0"/>
          <w:numId w:val="4"/>
        </w:numPr>
        <w:ind w:leftChars="0"/>
        <w:rPr>
          <w:rFonts w:ascii="Times New Roman"/>
          <w:sz w:val="24"/>
          <w:lang w:val="mn-MN"/>
        </w:rPr>
      </w:pPr>
      <w:r w:rsidRPr="00C66985">
        <w:rPr>
          <w:rFonts w:ascii="Times New Roman"/>
          <w:sz w:val="24"/>
          <w:lang w:val="mn-MN"/>
        </w:rPr>
        <w:t>Залуучуудын гишүүн орнуудад дадлага хийлгэх солилцооны хөтөлбөр(PioNEAR) нэвтрүүлэхийг шийдвэрлэсэн.</w:t>
      </w:r>
    </w:p>
    <w:p w:rsidR="00402222" w:rsidRPr="00C66985" w:rsidRDefault="00402222" w:rsidP="00402222">
      <w:pPr>
        <w:pStyle w:val="a4"/>
        <w:numPr>
          <w:ilvl w:val="0"/>
          <w:numId w:val="4"/>
        </w:numPr>
        <w:ind w:leftChars="0"/>
        <w:rPr>
          <w:rFonts w:ascii="Times New Roman"/>
          <w:sz w:val="24"/>
          <w:lang w:val="mn-MN"/>
        </w:rPr>
      </w:pPr>
      <w:r w:rsidRPr="00C66985">
        <w:rPr>
          <w:rFonts w:ascii="Times New Roman"/>
          <w:sz w:val="24"/>
          <w:lang w:val="mn-MN"/>
        </w:rPr>
        <w:t xml:space="preserve">2016 онд Холбоо байгуулагдсны 20 жилийн ойг угтаж, гишүүний хураамж төлөх журмыг нэвтрүүлэхээр шийдвэрлэж, шилжилтийн үед буюу 2013 оноос </w:t>
      </w:r>
      <w:r w:rsidRPr="00C66985">
        <w:rPr>
          <w:rFonts w:ascii="Times New Roman"/>
          <w:sz w:val="24"/>
          <w:lang w:val="mn-MN"/>
        </w:rPr>
        <w:lastRenderedPageBreak/>
        <w:t>2015 он хүртэл тусгай зориулалттай гишүүний хураамж төлөх журмыг нэвтрүүлэхээр шийдвэрлэсэн.</w:t>
      </w:r>
    </w:p>
    <w:p w:rsidR="00402222" w:rsidRPr="00C66985" w:rsidRDefault="00402222" w:rsidP="00402222">
      <w:pPr>
        <w:pStyle w:val="a4"/>
        <w:ind w:leftChars="0" w:left="760"/>
        <w:rPr>
          <w:rFonts w:ascii="Times New Roman"/>
          <w:sz w:val="24"/>
          <w:lang w:val="mn-MN"/>
        </w:rPr>
      </w:pPr>
    </w:p>
    <w:p w:rsidR="00402222" w:rsidRPr="00C66985" w:rsidRDefault="00402222" w:rsidP="00402222">
      <w:pPr>
        <w:rPr>
          <w:rFonts w:ascii="Times New Roman"/>
          <w:sz w:val="24"/>
          <w:lang w:val="mn-MN"/>
        </w:rPr>
      </w:pPr>
      <w:r w:rsidRPr="00C66985">
        <w:rPr>
          <w:rFonts w:ascii="Times New Roman"/>
          <w:sz w:val="24"/>
          <w:lang w:val="mn-MN"/>
        </w:rPr>
        <w:t>Бид түүхэн шинэ зарчмаар харилцан итгэлцэл, дэмлжэг хамтын ажиллагаа бүсийн хөгжлийг идэвхжүүлэх болон хамтын хөгжилд нөлөөлөх чухал шинжийн талаар сайтар ухамсарлан, Холбооны нийт гишүүн орон нутгууд эв нэгдэл, хамтын ажиллагааны тулд дээрх нийтлэг санаа, тунхагийг өвлөн “Ниншягийн тунхаг”-ийг хичээнг</w:t>
      </w:r>
      <w:r w:rsidRPr="00C66985">
        <w:rPr>
          <w:rFonts w:ascii="Times New Roman" w:eastAsia="MS Mincho"/>
          <w:sz w:val="24"/>
          <w:lang w:val="mn-MN"/>
        </w:rPr>
        <w:t>үйлэн</w:t>
      </w:r>
      <w:r w:rsidRPr="00C66985">
        <w:rPr>
          <w:rFonts w:ascii="Times New Roman"/>
          <w:sz w:val="24"/>
          <w:lang w:val="mn-MN"/>
        </w:rPr>
        <w:t xml:space="preserve"> хэрэгжүүлэхээр шийдвэрлэв. </w:t>
      </w:r>
    </w:p>
    <w:p w:rsidR="00402222" w:rsidRPr="00C66985" w:rsidRDefault="00402222" w:rsidP="00402222">
      <w:pPr>
        <w:ind w:left="400"/>
        <w:rPr>
          <w:rFonts w:ascii="Times New Roman"/>
          <w:sz w:val="24"/>
          <w:lang w:val="mn-MN"/>
        </w:rPr>
      </w:pPr>
    </w:p>
    <w:p w:rsidR="00402222" w:rsidRPr="00C66985" w:rsidRDefault="00402222" w:rsidP="00402222">
      <w:pPr>
        <w:ind w:left="400"/>
        <w:rPr>
          <w:rFonts w:ascii="Times New Roman"/>
          <w:sz w:val="24"/>
          <w:lang w:val="mn-MN"/>
        </w:rPr>
      </w:pPr>
    </w:p>
    <w:p w:rsidR="00402222" w:rsidRPr="00C66985" w:rsidRDefault="00402222" w:rsidP="00402222">
      <w:pPr>
        <w:ind w:left="400"/>
        <w:rPr>
          <w:rFonts w:ascii="Times New Roman"/>
          <w:sz w:val="24"/>
          <w:lang w:val="mn-MN"/>
        </w:rPr>
      </w:pPr>
    </w:p>
    <w:p w:rsidR="00402222" w:rsidRPr="00C66985" w:rsidRDefault="00402222" w:rsidP="00402222">
      <w:pPr>
        <w:ind w:left="400"/>
        <w:jc w:val="center"/>
        <w:rPr>
          <w:rFonts w:ascii="Times New Roman"/>
          <w:sz w:val="24"/>
          <w:lang w:val="mn-MN"/>
        </w:rPr>
      </w:pPr>
      <w:r w:rsidRPr="00C66985">
        <w:rPr>
          <w:rFonts w:ascii="Times New Roman"/>
          <w:sz w:val="24"/>
          <w:lang w:val="mn-MN"/>
        </w:rPr>
        <w:t>2012 оны 7 сарын 25-ны өдөр</w:t>
      </w:r>
    </w:p>
    <w:p w:rsidR="00402222" w:rsidRPr="00C66985" w:rsidRDefault="00402222" w:rsidP="00402222">
      <w:pPr>
        <w:ind w:left="400"/>
        <w:rPr>
          <w:sz w:val="24"/>
          <w:lang w:val="mn-MN"/>
        </w:rPr>
      </w:pPr>
    </w:p>
    <w:p w:rsidR="00402222" w:rsidRPr="00C66985" w:rsidRDefault="00402222" w:rsidP="00402222">
      <w:pPr>
        <w:ind w:left="400"/>
        <w:rPr>
          <w:sz w:val="24"/>
          <w:lang w:val="mn-MN"/>
        </w:rPr>
      </w:pPr>
    </w:p>
    <w:p w:rsidR="00402222" w:rsidRPr="00C66985" w:rsidRDefault="00402222" w:rsidP="00402222">
      <w:pPr>
        <w:ind w:left="400"/>
        <w:jc w:val="center"/>
        <w:rPr>
          <w:sz w:val="24"/>
          <w:lang w:val="mn-MN"/>
        </w:rPr>
      </w:pPr>
      <w:r w:rsidRPr="00C66985">
        <w:rPr>
          <w:sz w:val="24"/>
          <w:lang w:val="mn-MN"/>
        </w:rPr>
        <w:t>Хятад</w:t>
      </w:r>
      <w:r w:rsidRPr="00C66985">
        <w:rPr>
          <w:sz w:val="24"/>
          <w:lang w:val="mn-MN"/>
        </w:rPr>
        <w:t xml:space="preserve"> </w:t>
      </w:r>
      <w:r w:rsidRPr="00C66985">
        <w:rPr>
          <w:sz w:val="24"/>
          <w:lang w:val="mn-MN"/>
        </w:rPr>
        <w:t>улсын</w:t>
      </w:r>
      <w:r w:rsidRPr="00C66985">
        <w:rPr>
          <w:sz w:val="24"/>
          <w:lang w:val="mn-MN"/>
        </w:rPr>
        <w:t xml:space="preserve"> </w:t>
      </w:r>
      <w:r w:rsidRPr="00C66985">
        <w:rPr>
          <w:sz w:val="24"/>
          <w:lang w:val="mn-MN"/>
        </w:rPr>
        <w:t>Ниншя</w:t>
      </w:r>
      <w:r w:rsidRPr="00C66985">
        <w:rPr>
          <w:sz w:val="24"/>
          <w:lang w:val="mn-MN"/>
        </w:rPr>
        <w:t xml:space="preserve"> </w:t>
      </w:r>
      <w:r w:rsidRPr="00C66985">
        <w:rPr>
          <w:sz w:val="24"/>
          <w:lang w:val="mn-MN"/>
        </w:rPr>
        <w:t>Хуйн</w:t>
      </w:r>
      <w:r w:rsidRPr="00C66985">
        <w:rPr>
          <w:sz w:val="24"/>
          <w:lang w:val="mn-MN"/>
        </w:rPr>
        <w:t xml:space="preserve"> </w:t>
      </w:r>
      <w:r w:rsidRPr="00C66985">
        <w:rPr>
          <w:sz w:val="24"/>
          <w:lang w:val="mn-MN"/>
        </w:rPr>
        <w:t>ӨЗО</w:t>
      </w:r>
      <w:r w:rsidRPr="00C66985">
        <w:rPr>
          <w:sz w:val="24"/>
          <w:lang w:val="mn-MN"/>
        </w:rPr>
        <w:t>-</w:t>
      </w:r>
      <w:r w:rsidRPr="00C66985">
        <w:rPr>
          <w:sz w:val="24"/>
          <w:lang w:val="mn-MN"/>
        </w:rPr>
        <w:t>ны</w:t>
      </w:r>
      <w:r w:rsidRPr="00C66985">
        <w:rPr>
          <w:sz w:val="24"/>
          <w:lang w:val="mn-MN"/>
        </w:rPr>
        <w:t xml:space="preserve"> </w:t>
      </w:r>
      <w:r w:rsidRPr="00C66985">
        <w:rPr>
          <w:sz w:val="24"/>
          <w:lang w:val="mn-MN"/>
        </w:rPr>
        <w:t>Инчүан</w:t>
      </w:r>
      <w:r w:rsidRPr="00C66985">
        <w:rPr>
          <w:sz w:val="24"/>
          <w:lang w:val="mn-MN"/>
        </w:rPr>
        <w:t xml:space="preserve"> </w:t>
      </w:r>
      <w:r w:rsidRPr="00C66985">
        <w:rPr>
          <w:sz w:val="24"/>
          <w:lang w:val="mn-MN"/>
        </w:rPr>
        <w:t>хот</w:t>
      </w:r>
    </w:p>
    <w:p w:rsidR="0076671A" w:rsidRPr="00C66985" w:rsidRDefault="0076671A" w:rsidP="00402222">
      <w:pPr>
        <w:rPr>
          <w:sz w:val="24"/>
          <w:lang w:val="mn-MN"/>
        </w:rPr>
      </w:pPr>
    </w:p>
    <w:sectPr w:rsidR="0076671A" w:rsidRPr="00C66985"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F08" w:rsidRDefault="00076F08" w:rsidP="007427F5">
      <w:r>
        <w:separator/>
      </w:r>
    </w:p>
  </w:endnote>
  <w:endnote w:type="continuationSeparator" w:id="1">
    <w:p w:rsidR="00076F08" w:rsidRDefault="00076F08"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나눔고딕">
    <w:altName w:val="Arial Unicode MS"/>
    <w:panose1 w:val="020D0604000000000000"/>
    <w:charset w:val="81"/>
    <w:family w:val="modern"/>
    <w:pitch w:val="variable"/>
    <w:sig w:usb0="900002A7" w:usb1="29D7FCFB"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F08" w:rsidRDefault="00076F08" w:rsidP="007427F5">
      <w:r>
        <w:separator/>
      </w:r>
    </w:p>
  </w:footnote>
  <w:footnote w:type="continuationSeparator" w:id="1">
    <w:p w:rsidR="00076F08" w:rsidRDefault="00076F08"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661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16B1231"/>
    <w:multiLevelType w:val="hybridMultilevel"/>
    <w:tmpl w:val="918AF39C"/>
    <w:lvl w:ilvl="0" w:tplc="1CC067FC">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4762967"/>
    <w:multiLevelType w:val="hybridMultilevel"/>
    <w:tmpl w:val="E2B49564"/>
    <w:lvl w:ilvl="0" w:tplc="CF00D1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450A"/>
    <w:rsid w:val="00076F08"/>
    <w:rsid w:val="00111EFF"/>
    <w:rsid w:val="00123951"/>
    <w:rsid w:val="0016595E"/>
    <w:rsid w:val="001A1E73"/>
    <w:rsid w:val="001F37CF"/>
    <w:rsid w:val="00266851"/>
    <w:rsid w:val="002A4C92"/>
    <w:rsid w:val="002B7585"/>
    <w:rsid w:val="00320830"/>
    <w:rsid w:val="00355349"/>
    <w:rsid w:val="003679C0"/>
    <w:rsid w:val="003F765C"/>
    <w:rsid w:val="00402222"/>
    <w:rsid w:val="00432A02"/>
    <w:rsid w:val="00446AEA"/>
    <w:rsid w:val="004F78E1"/>
    <w:rsid w:val="00503F97"/>
    <w:rsid w:val="00522608"/>
    <w:rsid w:val="005515A7"/>
    <w:rsid w:val="005C37D9"/>
    <w:rsid w:val="00603CAD"/>
    <w:rsid w:val="006117B4"/>
    <w:rsid w:val="00635C11"/>
    <w:rsid w:val="006464CD"/>
    <w:rsid w:val="0069173F"/>
    <w:rsid w:val="006A38E1"/>
    <w:rsid w:val="006E5215"/>
    <w:rsid w:val="006F3512"/>
    <w:rsid w:val="00730D69"/>
    <w:rsid w:val="007427F5"/>
    <w:rsid w:val="0076671A"/>
    <w:rsid w:val="00770595"/>
    <w:rsid w:val="007B2565"/>
    <w:rsid w:val="007F7CE3"/>
    <w:rsid w:val="0080573A"/>
    <w:rsid w:val="00820BE6"/>
    <w:rsid w:val="00831523"/>
    <w:rsid w:val="008E6119"/>
    <w:rsid w:val="00943469"/>
    <w:rsid w:val="009512DB"/>
    <w:rsid w:val="009F0C0D"/>
    <w:rsid w:val="00A11D3F"/>
    <w:rsid w:val="00A656FB"/>
    <w:rsid w:val="00B44E7F"/>
    <w:rsid w:val="00BC0544"/>
    <w:rsid w:val="00BF089E"/>
    <w:rsid w:val="00C174B9"/>
    <w:rsid w:val="00C57D16"/>
    <w:rsid w:val="00C66985"/>
    <w:rsid w:val="00CB5BAD"/>
    <w:rsid w:val="00CD1B81"/>
    <w:rsid w:val="00D15DE9"/>
    <w:rsid w:val="00D55C13"/>
    <w:rsid w:val="00DE7C5A"/>
    <w:rsid w:val="00E011C1"/>
    <w:rsid w:val="00E10557"/>
    <w:rsid w:val="00E12642"/>
    <w:rsid w:val="00E13A67"/>
    <w:rsid w:val="00E74A32"/>
    <w:rsid w:val="00F35CAA"/>
    <w:rsid w:val="00F740A3"/>
    <w:rsid w:val="00F859DF"/>
    <w:rsid w:val="00F947E6"/>
    <w:rsid w:val="00FB3C15"/>
    <w:rsid w:val="00FB7938"/>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6671A"/>
    <w:pPr>
      <w:ind w:leftChars="400" w:left="800"/>
    </w:pPr>
  </w:style>
  <w:style w:type="table" w:customStyle="1" w:styleId="-11">
    <w:name w:val="옅은 음영 - 강조색 11"/>
    <w:basedOn w:val="a2"/>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0"/>
    <w:link w:val="Char"/>
    <w:uiPriority w:val="99"/>
    <w:semiHidden/>
    <w:unhideWhenUsed/>
    <w:rsid w:val="007427F5"/>
    <w:pPr>
      <w:tabs>
        <w:tab w:val="center" w:pos="4513"/>
        <w:tab w:val="right" w:pos="9026"/>
      </w:tabs>
      <w:snapToGrid w:val="0"/>
    </w:pPr>
  </w:style>
  <w:style w:type="character" w:customStyle="1" w:styleId="Char">
    <w:name w:val="머리글 Char"/>
    <w:basedOn w:val="a1"/>
    <w:link w:val="a5"/>
    <w:uiPriority w:val="99"/>
    <w:semiHidden/>
    <w:rsid w:val="007427F5"/>
    <w:rPr>
      <w:rFonts w:ascii="바탕" w:eastAsia="바탕" w:hAnsi="Times New Roman" w:cs="Times New Roman"/>
      <w:szCs w:val="24"/>
      <w:lang w:bidi="ar-SA"/>
    </w:rPr>
  </w:style>
  <w:style w:type="paragraph" w:styleId="a6">
    <w:name w:val="footer"/>
    <w:basedOn w:val="a0"/>
    <w:link w:val="Char0"/>
    <w:uiPriority w:val="99"/>
    <w:semiHidden/>
    <w:unhideWhenUsed/>
    <w:rsid w:val="007427F5"/>
    <w:pPr>
      <w:tabs>
        <w:tab w:val="center" w:pos="4513"/>
        <w:tab w:val="right" w:pos="9026"/>
      </w:tabs>
      <w:snapToGrid w:val="0"/>
    </w:pPr>
  </w:style>
  <w:style w:type="character" w:customStyle="1" w:styleId="Char0">
    <w:name w:val="바닥글 Char"/>
    <w:basedOn w:val="a1"/>
    <w:link w:val="a6"/>
    <w:uiPriority w:val="99"/>
    <w:semiHidden/>
    <w:rsid w:val="007427F5"/>
    <w:rPr>
      <w:rFonts w:ascii="바탕" w:eastAsia="바탕" w:hAnsi="Times New Roman" w:cs="Times New Roman"/>
      <w:szCs w:val="24"/>
      <w:lang w:bidi="ar-SA"/>
    </w:rPr>
  </w:style>
  <w:style w:type="paragraph" w:styleId="a">
    <w:name w:val="List Bullet"/>
    <w:basedOn w:val="a0"/>
    <w:uiPriority w:val="99"/>
    <w:unhideWhenUsed/>
    <w:rsid w:val="00266851"/>
    <w:pPr>
      <w:numPr>
        <w:numId w:val="2"/>
      </w:numPr>
      <w:contextualSpacing/>
    </w:pPr>
  </w:style>
  <w:style w:type="paragraph" w:customStyle="1" w:styleId="s0">
    <w:name w:val="s0"/>
    <w:basedOn w:val="a0"/>
    <w:rsid w:val="001A1E73"/>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r="http://schemas.openxmlformats.org/officeDocument/2006/relationships" xmlns:w="http://schemas.openxmlformats.org/wordprocessingml/2006/main">
  <w:divs>
    <w:div w:id="433984109">
      <w:bodyDiv w:val="1"/>
      <w:marLeft w:val="0"/>
      <w:marRight w:val="0"/>
      <w:marTop w:val="0"/>
      <w:marBottom w:val="0"/>
      <w:divBdr>
        <w:top w:val="none" w:sz="0" w:space="0" w:color="auto"/>
        <w:left w:val="none" w:sz="0" w:space="0" w:color="auto"/>
        <w:bottom w:val="none" w:sz="0" w:space="0" w:color="auto"/>
        <w:right w:val="none" w:sz="0" w:space="0" w:color="auto"/>
      </w:divBdr>
      <w:divsChild>
        <w:div w:id="1496528383">
          <w:marLeft w:val="0"/>
          <w:marRight w:val="0"/>
          <w:marTop w:val="0"/>
          <w:marBottom w:val="0"/>
          <w:divBdr>
            <w:top w:val="none" w:sz="0" w:space="0" w:color="auto"/>
            <w:left w:val="none" w:sz="0" w:space="0" w:color="auto"/>
            <w:bottom w:val="none" w:sz="0" w:space="0" w:color="auto"/>
            <w:right w:val="none" w:sz="0" w:space="0" w:color="auto"/>
          </w:divBdr>
          <w:divsChild>
            <w:div w:id="2002930786">
              <w:marLeft w:val="0"/>
              <w:marRight w:val="0"/>
              <w:marTop w:val="0"/>
              <w:marBottom w:val="0"/>
              <w:divBdr>
                <w:top w:val="none" w:sz="0" w:space="0" w:color="auto"/>
                <w:left w:val="none" w:sz="0" w:space="0" w:color="auto"/>
                <w:bottom w:val="none" w:sz="0" w:space="0" w:color="auto"/>
                <w:right w:val="none" w:sz="0" w:space="0" w:color="auto"/>
              </w:divBdr>
              <w:divsChild>
                <w:div w:id="2848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6055">
      <w:bodyDiv w:val="1"/>
      <w:marLeft w:val="0"/>
      <w:marRight w:val="0"/>
      <w:marTop w:val="0"/>
      <w:marBottom w:val="0"/>
      <w:divBdr>
        <w:top w:val="none" w:sz="0" w:space="0" w:color="auto"/>
        <w:left w:val="none" w:sz="0" w:space="0" w:color="auto"/>
        <w:bottom w:val="none" w:sz="0" w:space="0" w:color="auto"/>
        <w:right w:val="none" w:sz="0" w:space="0" w:color="auto"/>
      </w:divBdr>
      <w:divsChild>
        <w:div w:id="2084374589">
          <w:marLeft w:val="0"/>
          <w:marRight w:val="0"/>
          <w:marTop w:val="0"/>
          <w:marBottom w:val="0"/>
          <w:divBdr>
            <w:top w:val="none" w:sz="0" w:space="0" w:color="auto"/>
            <w:left w:val="none" w:sz="0" w:space="0" w:color="auto"/>
            <w:bottom w:val="none" w:sz="0" w:space="0" w:color="auto"/>
            <w:right w:val="none" w:sz="0" w:space="0" w:color="auto"/>
          </w:divBdr>
          <w:divsChild>
            <w:div w:id="1281692093">
              <w:marLeft w:val="0"/>
              <w:marRight w:val="0"/>
              <w:marTop w:val="0"/>
              <w:marBottom w:val="0"/>
              <w:divBdr>
                <w:top w:val="none" w:sz="0" w:space="0" w:color="auto"/>
                <w:left w:val="none" w:sz="0" w:space="0" w:color="auto"/>
                <w:bottom w:val="none" w:sz="0" w:space="0" w:color="auto"/>
                <w:right w:val="none" w:sz="0" w:space="0" w:color="auto"/>
              </w:divBdr>
              <w:divsChild>
                <w:div w:id="7800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1594">
      <w:bodyDiv w:val="1"/>
      <w:marLeft w:val="0"/>
      <w:marRight w:val="0"/>
      <w:marTop w:val="0"/>
      <w:marBottom w:val="0"/>
      <w:divBdr>
        <w:top w:val="none" w:sz="0" w:space="0" w:color="auto"/>
        <w:left w:val="none" w:sz="0" w:space="0" w:color="auto"/>
        <w:bottom w:val="none" w:sz="0" w:space="0" w:color="auto"/>
        <w:right w:val="none" w:sz="0" w:space="0" w:color="auto"/>
      </w:divBdr>
      <w:divsChild>
        <w:div w:id="1192956647">
          <w:marLeft w:val="0"/>
          <w:marRight w:val="0"/>
          <w:marTop w:val="0"/>
          <w:marBottom w:val="0"/>
          <w:divBdr>
            <w:top w:val="none" w:sz="0" w:space="0" w:color="auto"/>
            <w:left w:val="none" w:sz="0" w:space="0" w:color="auto"/>
            <w:bottom w:val="none" w:sz="0" w:space="0" w:color="auto"/>
            <w:right w:val="none" w:sz="0" w:space="0" w:color="auto"/>
          </w:divBdr>
          <w:divsChild>
            <w:div w:id="1577520234">
              <w:marLeft w:val="0"/>
              <w:marRight w:val="0"/>
              <w:marTop w:val="0"/>
              <w:marBottom w:val="0"/>
              <w:divBdr>
                <w:top w:val="none" w:sz="0" w:space="0" w:color="auto"/>
                <w:left w:val="none" w:sz="0" w:space="0" w:color="auto"/>
                <w:bottom w:val="none" w:sz="0" w:space="0" w:color="auto"/>
                <w:right w:val="none" w:sz="0" w:space="0" w:color="auto"/>
              </w:divBdr>
              <w:divsChild>
                <w:div w:id="13304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834">
      <w:bodyDiv w:val="1"/>
      <w:marLeft w:val="0"/>
      <w:marRight w:val="0"/>
      <w:marTop w:val="0"/>
      <w:marBottom w:val="0"/>
      <w:divBdr>
        <w:top w:val="none" w:sz="0" w:space="0" w:color="auto"/>
        <w:left w:val="none" w:sz="0" w:space="0" w:color="auto"/>
        <w:bottom w:val="none" w:sz="0" w:space="0" w:color="auto"/>
        <w:right w:val="none" w:sz="0" w:space="0" w:color="auto"/>
      </w:divBdr>
      <w:divsChild>
        <w:div w:id="1311907340">
          <w:marLeft w:val="0"/>
          <w:marRight w:val="0"/>
          <w:marTop w:val="0"/>
          <w:marBottom w:val="0"/>
          <w:divBdr>
            <w:top w:val="none" w:sz="0" w:space="0" w:color="auto"/>
            <w:left w:val="none" w:sz="0" w:space="0" w:color="auto"/>
            <w:bottom w:val="none" w:sz="0" w:space="0" w:color="auto"/>
            <w:right w:val="none" w:sz="0" w:space="0" w:color="auto"/>
          </w:divBdr>
          <w:divsChild>
            <w:div w:id="1730492675">
              <w:marLeft w:val="0"/>
              <w:marRight w:val="0"/>
              <w:marTop w:val="0"/>
              <w:marBottom w:val="0"/>
              <w:divBdr>
                <w:top w:val="none" w:sz="0" w:space="0" w:color="auto"/>
                <w:left w:val="none" w:sz="0" w:space="0" w:color="auto"/>
                <w:bottom w:val="none" w:sz="0" w:space="0" w:color="auto"/>
                <w:right w:val="none" w:sz="0" w:space="0" w:color="auto"/>
              </w:divBdr>
              <w:divsChild>
                <w:div w:id="15632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0012">
      <w:bodyDiv w:val="1"/>
      <w:marLeft w:val="0"/>
      <w:marRight w:val="0"/>
      <w:marTop w:val="0"/>
      <w:marBottom w:val="0"/>
      <w:divBdr>
        <w:top w:val="none" w:sz="0" w:space="0" w:color="auto"/>
        <w:left w:val="none" w:sz="0" w:space="0" w:color="auto"/>
        <w:bottom w:val="none" w:sz="0" w:space="0" w:color="auto"/>
        <w:right w:val="none" w:sz="0" w:space="0" w:color="auto"/>
      </w:divBdr>
      <w:divsChild>
        <w:div w:id="979505515">
          <w:marLeft w:val="0"/>
          <w:marRight w:val="0"/>
          <w:marTop w:val="0"/>
          <w:marBottom w:val="0"/>
          <w:divBdr>
            <w:top w:val="none" w:sz="0" w:space="0" w:color="auto"/>
            <w:left w:val="none" w:sz="0" w:space="0" w:color="auto"/>
            <w:bottom w:val="none" w:sz="0" w:space="0" w:color="auto"/>
            <w:right w:val="none" w:sz="0" w:space="0" w:color="auto"/>
          </w:divBdr>
          <w:divsChild>
            <w:div w:id="1646154125">
              <w:marLeft w:val="0"/>
              <w:marRight w:val="0"/>
              <w:marTop w:val="0"/>
              <w:marBottom w:val="0"/>
              <w:divBdr>
                <w:top w:val="none" w:sz="0" w:space="0" w:color="auto"/>
                <w:left w:val="none" w:sz="0" w:space="0" w:color="auto"/>
                <w:bottom w:val="none" w:sz="0" w:space="0" w:color="auto"/>
                <w:right w:val="none" w:sz="0" w:space="0" w:color="auto"/>
              </w:divBdr>
              <w:divsChild>
                <w:div w:id="15772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2752">
      <w:bodyDiv w:val="1"/>
      <w:marLeft w:val="0"/>
      <w:marRight w:val="0"/>
      <w:marTop w:val="0"/>
      <w:marBottom w:val="0"/>
      <w:divBdr>
        <w:top w:val="none" w:sz="0" w:space="0" w:color="auto"/>
        <w:left w:val="none" w:sz="0" w:space="0" w:color="auto"/>
        <w:bottom w:val="none" w:sz="0" w:space="0" w:color="auto"/>
        <w:right w:val="none" w:sz="0" w:space="0" w:color="auto"/>
      </w:divBdr>
      <w:divsChild>
        <w:div w:id="232547781">
          <w:marLeft w:val="0"/>
          <w:marRight w:val="0"/>
          <w:marTop w:val="0"/>
          <w:marBottom w:val="0"/>
          <w:divBdr>
            <w:top w:val="none" w:sz="0" w:space="0" w:color="auto"/>
            <w:left w:val="none" w:sz="0" w:space="0" w:color="auto"/>
            <w:bottom w:val="none" w:sz="0" w:space="0" w:color="auto"/>
            <w:right w:val="none" w:sz="0" w:space="0" w:color="auto"/>
          </w:divBdr>
          <w:divsChild>
            <w:div w:id="881556589">
              <w:marLeft w:val="0"/>
              <w:marRight w:val="0"/>
              <w:marTop w:val="0"/>
              <w:marBottom w:val="0"/>
              <w:divBdr>
                <w:top w:val="none" w:sz="0" w:space="0" w:color="auto"/>
                <w:left w:val="none" w:sz="0" w:space="0" w:color="auto"/>
                <w:bottom w:val="none" w:sz="0" w:space="0" w:color="auto"/>
                <w:right w:val="none" w:sz="0" w:space="0" w:color="auto"/>
              </w:divBdr>
              <w:divsChild>
                <w:div w:id="1705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6</cp:revision>
  <dcterms:created xsi:type="dcterms:W3CDTF">2012-12-10T02:17:00Z</dcterms:created>
  <dcterms:modified xsi:type="dcterms:W3CDTF">2012-12-21T09:53:00Z</dcterms:modified>
</cp:coreProperties>
</file>