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10" w:rsidRPr="00691E10" w:rsidRDefault="00691E10" w:rsidP="00691E10">
      <w:pPr>
        <w:rPr>
          <w:rFonts w:ascii="Times New Roman" w:eastAsia="나눔고딕"/>
          <w:b/>
          <w:color w:val="000000"/>
          <w:szCs w:val="20"/>
          <w:lang w:val="mn-MN"/>
        </w:rPr>
      </w:pPr>
      <w:r w:rsidRPr="00691E10">
        <w:rPr>
          <w:rFonts w:ascii="Times New Roman" w:eastAsia="나눔고딕"/>
          <w:b/>
          <w:color w:val="000000"/>
          <w:szCs w:val="20"/>
          <w:lang w:val="mn-MN"/>
        </w:rPr>
        <w:t>Ажлын хорооны 5-р хурал</w:t>
      </w:r>
    </w:p>
    <w:p w:rsidR="00691E10" w:rsidRPr="00691E10" w:rsidRDefault="00691E10" w:rsidP="00691E10">
      <w:pPr>
        <w:widowControl/>
        <w:wordWrap/>
        <w:autoSpaceDE/>
        <w:autoSpaceDN/>
        <w:rPr>
          <w:rFonts w:ascii="Times New Roman" w:eastAsia="나눔고딕"/>
          <w:szCs w:val="20"/>
          <w:lang w:val="mn-MN"/>
        </w:rPr>
      </w:pPr>
    </w:p>
    <w:p w:rsidR="00691E10" w:rsidRDefault="00691E10" w:rsidP="00691E10">
      <w:pPr>
        <w:pStyle w:val="a4"/>
        <w:widowControl/>
        <w:wordWrap/>
        <w:autoSpaceDE/>
        <w:autoSpaceDN/>
        <w:ind w:leftChars="0"/>
        <w:rPr>
          <w:rFonts w:ascii="Times New Roman"/>
          <w:szCs w:val="20"/>
          <w:lang w:val="mn-MN"/>
        </w:rPr>
      </w:pPr>
      <w:r>
        <w:rPr>
          <w:rFonts w:ascii="Times New Roman"/>
          <w:szCs w:val="20"/>
          <w:lang w:val="mn-MN"/>
        </w:rPr>
        <w:t>Тойм</w:t>
      </w:r>
    </w:p>
    <w:p w:rsidR="00691E10" w:rsidRPr="00691E10" w:rsidRDefault="00691E10" w:rsidP="00691E10">
      <w:pPr>
        <w:pStyle w:val="a4"/>
        <w:widowControl/>
        <w:wordWrap/>
        <w:autoSpaceDE/>
        <w:autoSpaceDN/>
        <w:ind w:leftChars="0"/>
        <w:rPr>
          <w:rFonts w:ascii="Times New Roman"/>
          <w:szCs w:val="20"/>
          <w:lang w:val="mn-MN"/>
        </w:rPr>
      </w:pPr>
    </w:p>
    <w:tbl>
      <w:tblPr>
        <w:tblW w:w="9692" w:type="dxa"/>
        <w:tblBorders>
          <w:top w:val="dotted" w:sz="4" w:space="0" w:color="auto"/>
          <w:bottom w:val="dotted" w:sz="4" w:space="0" w:color="auto"/>
          <w:insideH w:val="dotted" w:sz="4" w:space="0" w:color="auto"/>
          <w:insideV w:val="dotted" w:sz="4" w:space="0" w:color="auto"/>
        </w:tblBorders>
        <w:tblLook w:val="04A0"/>
      </w:tblPr>
      <w:tblGrid>
        <w:gridCol w:w="1257"/>
        <w:gridCol w:w="2702"/>
        <w:gridCol w:w="5733"/>
      </w:tblGrid>
      <w:tr w:rsidR="00691E10" w:rsidRPr="00691E10" w:rsidTr="00035EDE">
        <w:trPr>
          <w:trHeight w:val="300"/>
        </w:trPr>
        <w:tc>
          <w:tcPr>
            <w:tcW w:w="1257" w:type="dxa"/>
            <w:tcBorders>
              <w:top w:val="single" w:sz="8" w:space="0" w:color="4F81BD"/>
              <w:left w:val="nil"/>
              <w:bottom w:val="single" w:sz="8" w:space="0" w:color="4F81BD"/>
              <w:right w:val="nil"/>
            </w:tcBorders>
            <w:shd w:val="clear" w:color="auto" w:fill="C6D9F1"/>
            <w:vAlign w:val="center"/>
          </w:tcPr>
          <w:p w:rsidR="00691E10" w:rsidRPr="00691E10" w:rsidRDefault="00691E10" w:rsidP="00691E10">
            <w:pPr>
              <w:rPr>
                <w:rFonts w:ascii="Times New Roman" w:eastAsia="나눔고딕"/>
                <w:b/>
                <w:bCs/>
                <w:color w:val="365F91"/>
                <w:szCs w:val="20"/>
                <w:lang w:val="mn-MN"/>
              </w:rPr>
            </w:pPr>
            <w:r w:rsidRPr="00691E10">
              <w:rPr>
                <w:rFonts w:ascii="Times New Roman"/>
                <w:b/>
                <w:bCs/>
                <w:color w:val="000000"/>
                <w:szCs w:val="20"/>
                <w:lang w:val="mn-MN"/>
              </w:rPr>
              <w:t>Хугацаа</w:t>
            </w:r>
          </w:p>
        </w:tc>
        <w:tc>
          <w:tcPr>
            <w:tcW w:w="8435" w:type="dxa"/>
            <w:gridSpan w:val="2"/>
            <w:tcBorders>
              <w:top w:val="single" w:sz="8" w:space="0" w:color="4F81BD"/>
              <w:left w:val="nil"/>
              <w:bottom w:val="single" w:sz="8" w:space="0" w:color="4F81BD"/>
              <w:right w:val="nil"/>
            </w:tcBorders>
            <w:shd w:val="clear" w:color="auto" w:fill="auto"/>
          </w:tcPr>
          <w:p w:rsidR="00691E10" w:rsidRPr="00691E10" w:rsidRDefault="00691E10" w:rsidP="00691E10">
            <w:pPr>
              <w:rPr>
                <w:rFonts w:ascii="Times New Roman" w:eastAsia="나눔고딕"/>
                <w:b/>
                <w:bCs/>
                <w:color w:val="365F91"/>
                <w:szCs w:val="20"/>
                <w:lang w:val="mn-MN"/>
              </w:rPr>
            </w:pPr>
            <w:r w:rsidRPr="00691E10">
              <w:rPr>
                <w:rFonts w:ascii="Times New Roman"/>
                <w:b/>
                <w:bCs/>
                <w:color w:val="000000"/>
                <w:szCs w:val="20"/>
                <w:shd w:val="clear" w:color="auto" w:fill="FFFFFF"/>
                <w:lang w:val="mn-MN"/>
              </w:rPr>
              <w:t>2005-11-29 ~ 2005-12-01</w:t>
            </w:r>
          </w:p>
        </w:tc>
      </w:tr>
      <w:tr w:rsidR="00691E10" w:rsidRPr="00691E10" w:rsidTr="00035EDE">
        <w:trPr>
          <w:trHeight w:val="479"/>
        </w:trPr>
        <w:tc>
          <w:tcPr>
            <w:tcW w:w="1257" w:type="dxa"/>
            <w:tcBorders>
              <w:left w:val="nil"/>
              <w:right w:val="nil"/>
            </w:tcBorders>
            <w:shd w:val="clear" w:color="auto" w:fill="C6D9F1"/>
            <w:vAlign w:val="center"/>
          </w:tcPr>
          <w:tbl>
            <w:tblPr>
              <w:tblW w:w="598" w:type="dxa"/>
              <w:tblCellSpacing w:w="0" w:type="dxa"/>
              <w:tblCellMar>
                <w:left w:w="0" w:type="dxa"/>
                <w:right w:w="0" w:type="dxa"/>
              </w:tblCellMar>
              <w:tblLook w:val="04A0"/>
            </w:tblPr>
            <w:tblGrid>
              <w:gridCol w:w="79"/>
              <w:gridCol w:w="519"/>
            </w:tblGrid>
            <w:tr w:rsidR="00691E10" w:rsidRPr="00691E10" w:rsidTr="00035EDE">
              <w:trPr>
                <w:trHeight w:val="240"/>
                <w:tblCellSpacing w:w="0" w:type="dxa"/>
              </w:trPr>
              <w:tc>
                <w:tcPr>
                  <w:tcW w:w="122" w:type="dxa"/>
                  <w:vAlign w:val="center"/>
                  <w:hideMark/>
                </w:tcPr>
                <w:p w:rsidR="00691E10" w:rsidRPr="00691E10" w:rsidRDefault="00691E10" w:rsidP="00691E10">
                  <w:pPr>
                    <w:widowControl/>
                    <w:wordWrap/>
                    <w:autoSpaceDE/>
                    <w:autoSpaceDN/>
                    <w:spacing w:line="240" w:lineRule="atLeast"/>
                    <w:rPr>
                      <w:rFonts w:ascii="Times New Roman" w:eastAsia="굴림"/>
                      <w:b/>
                      <w:color w:val="000000"/>
                      <w:kern w:val="0"/>
                      <w:szCs w:val="20"/>
                      <w:lang w:val="mn-MN" w:bidi="mn-Mong-CN"/>
                    </w:rPr>
                  </w:pPr>
                </w:p>
              </w:tc>
              <w:tc>
                <w:tcPr>
                  <w:tcW w:w="0" w:type="auto"/>
                  <w:vAlign w:val="center"/>
                  <w:hideMark/>
                </w:tcPr>
                <w:p w:rsidR="00691E10" w:rsidRPr="00691E10" w:rsidRDefault="00691E10" w:rsidP="00691E10">
                  <w:pPr>
                    <w:widowControl/>
                    <w:wordWrap/>
                    <w:autoSpaceDE/>
                    <w:autoSpaceDN/>
                    <w:spacing w:line="240" w:lineRule="atLeast"/>
                    <w:rPr>
                      <w:rFonts w:ascii="Times New Roman" w:eastAsia="굴림"/>
                      <w:b/>
                      <w:color w:val="000000"/>
                      <w:kern w:val="0"/>
                      <w:szCs w:val="20"/>
                      <w:lang w:val="mn-MN" w:bidi="mn-Mong-CN"/>
                    </w:rPr>
                  </w:pPr>
                  <w:r w:rsidRPr="00691E10">
                    <w:rPr>
                      <w:rFonts w:ascii="Times New Roman" w:eastAsia="굴림"/>
                      <w:b/>
                      <w:color w:val="000000"/>
                      <w:kern w:val="0"/>
                      <w:szCs w:val="20"/>
                      <w:lang w:val="mn-MN" w:bidi="mn-Mong-CN"/>
                    </w:rPr>
                    <w:t>Газар</w:t>
                  </w:r>
                </w:p>
              </w:tc>
            </w:tr>
          </w:tbl>
          <w:p w:rsidR="00691E10" w:rsidRPr="00691E10" w:rsidRDefault="00691E10" w:rsidP="00691E10">
            <w:pPr>
              <w:rPr>
                <w:rFonts w:ascii="Times New Roman" w:eastAsia="나눔고딕"/>
                <w:b/>
                <w:bCs/>
                <w:color w:val="365F91"/>
                <w:szCs w:val="20"/>
                <w:lang w:val="mn-MN"/>
              </w:rPr>
            </w:pPr>
          </w:p>
        </w:tc>
        <w:tc>
          <w:tcPr>
            <w:tcW w:w="8435" w:type="dxa"/>
            <w:gridSpan w:val="2"/>
            <w:tcBorders>
              <w:left w:val="nil"/>
              <w:right w:val="nil"/>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Бүгд Найрамдах Солонгос Улс &gt; Кёнсанбүг муж, Пусан хотын Лотте зочид буудал, ОУ-ын хурлын танхим</w:t>
            </w:r>
          </w:p>
        </w:tc>
      </w:tr>
      <w:tr w:rsidR="00691E10" w:rsidRPr="00691E10" w:rsidTr="00035EDE">
        <w:trPr>
          <w:trHeight w:val="300"/>
        </w:trPr>
        <w:tc>
          <w:tcPr>
            <w:tcW w:w="1257" w:type="dxa"/>
            <w:shd w:val="clear" w:color="auto" w:fill="C6D9F1"/>
            <w:vAlign w:val="center"/>
          </w:tcPr>
          <w:p w:rsidR="00691E10" w:rsidRPr="00691E10" w:rsidRDefault="00691E10" w:rsidP="00691E10">
            <w:pPr>
              <w:spacing w:line="240" w:lineRule="atLeast"/>
              <w:rPr>
                <w:rFonts w:ascii="Times New Roman" w:eastAsia="나눔고딕"/>
                <w:b/>
                <w:bCs/>
                <w:color w:val="365F91"/>
                <w:szCs w:val="20"/>
                <w:lang w:val="mn-MN"/>
              </w:rPr>
            </w:pPr>
            <w:r w:rsidRPr="00691E10">
              <w:rPr>
                <w:rFonts w:ascii="Times New Roman"/>
                <w:b/>
                <w:bCs/>
                <w:color w:val="000000"/>
                <w:szCs w:val="20"/>
                <w:lang w:val="mn-MN"/>
              </w:rPr>
              <w:t>Зохион байгуулсан</w:t>
            </w:r>
          </w:p>
        </w:tc>
        <w:tc>
          <w:tcPr>
            <w:tcW w:w="8435" w:type="dxa"/>
            <w:gridSpan w:val="2"/>
            <w:tcBorders>
              <w:bottom w:val="dotted" w:sz="4" w:space="0" w:color="auto"/>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Бүгд Найрамдах Солонгос Улс &gt; Кёнсанбүг муж</w:t>
            </w:r>
          </w:p>
        </w:tc>
      </w:tr>
      <w:tr w:rsidR="00691E10" w:rsidRPr="00691E10" w:rsidTr="00035EDE">
        <w:trPr>
          <w:trHeight w:val="300"/>
        </w:trPr>
        <w:tc>
          <w:tcPr>
            <w:tcW w:w="1257" w:type="dxa"/>
            <w:vMerge w:val="restart"/>
            <w:tcBorders>
              <w:left w:val="nil"/>
              <w:right w:val="dotted" w:sz="4" w:space="0" w:color="auto"/>
            </w:tcBorders>
            <w:shd w:val="clear" w:color="auto" w:fill="C6D9F1"/>
            <w:vAlign w:val="center"/>
          </w:tcPr>
          <w:p w:rsidR="00691E10" w:rsidRPr="00691E10" w:rsidRDefault="00691E10" w:rsidP="00691E10">
            <w:pPr>
              <w:spacing w:line="240" w:lineRule="atLeast"/>
              <w:rPr>
                <w:rFonts w:ascii="Times New Roman" w:eastAsia="굴림"/>
                <w:b/>
                <w:bCs/>
                <w:color w:val="000000"/>
                <w:szCs w:val="20"/>
                <w:lang w:val="mn-MN"/>
              </w:rPr>
            </w:pPr>
            <w:r w:rsidRPr="00691E10">
              <w:rPr>
                <w:rFonts w:ascii="Times New Roman"/>
                <w:b/>
                <w:bCs/>
                <w:color w:val="000000"/>
                <w:szCs w:val="20"/>
                <w:lang w:val="mn-MN"/>
              </w:rPr>
              <w:t>Оролцсон байдал</w:t>
            </w:r>
          </w:p>
          <w:p w:rsidR="00691E10" w:rsidRPr="00691E10" w:rsidRDefault="00691E10" w:rsidP="00691E10">
            <w:pPr>
              <w:rPr>
                <w:rFonts w:ascii="Times New Roman" w:eastAsia="나눔고딕"/>
                <w:b/>
                <w:bCs/>
                <w:color w:val="365F91"/>
                <w:szCs w:val="20"/>
                <w:lang w:val="mn-MN"/>
              </w:rPr>
            </w:pPr>
          </w:p>
        </w:tc>
        <w:tc>
          <w:tcPr>
            <w:tcW w:w="8435" w:type="dxa"/>
            <w:gridSpan w:val="2"/>
            <w:tcBorders>
              <w:left w:val="dotted" w:sz="4" w:space="0" w:color="auto"/>
              <w:right w:val="nil"/>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5 улсын 20 орон нутгийн 58 оролцогч</w:t>
            </w:r>
          </w:p>
        </w:tc>
      </w:tr>
      <w:tr w:rsidR="00691E10" w:rsidRPr="00691E10" w:rsidTr="00035EDE">
        <w:trPr>
          <w:trHeight w:val="300"/>
        </w:trPr>
        <w:tc>
          <w:tcPr>
            <w:tcW w:w="1257" w:type="dxa"/>
            <w:vMerge/>
            <w:tcBorders>
              <w:right w:val="dotted" w:sz="4" w:space="0" w:color="auto"/>
            </w:tcBorders>
            <w:shd w:val="clear" w:color="auto" w:fill="C6D9F1"/>
          </w:tcPr>
          <w:p w:rsidR="00691E10" w:rsidRPr="00691E10" w:rsidRDefault="00691E10" w:rsidP="00691E10">
            <w:pPr>
              <w:rPr>
                <w:rFonts w:ascii="Times New Roman" w:eastAsia="나눔고딕"/>
                <w:b/>
                <w:bCs/>
                <w:color w:val="365F91"/>
                <w:szCs w:val="20"/>
                <w:lang w:val="mn-MN"/>
              </w:rPr>
            </w:pPr>
          </w:p>
        </w:tc>
        <w:tc>
          <w:tcPr>
            <w:tcW w:w="2702" w:type="dxa"/>
            <w:tcBorders>
              <w:left w:val="dotted" w:sz="4" w:space="0" w:color="auto"/>
              <w:right w:val="dotted" w:sz="4" w:space="0" w:color="auto"/>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Бүгд Найрамдах Хятад Ард Улс</w:t>
            </w:r>
          </w:p>
        </w:tc>
        <w:tc>
          <w:tcPr>
            <w:tcW w:w="5733" w:type="dxa"/>
            <w:tcBorders>
              <w:left w:val="dotted" w:sz="4" w:space="0" w:color="auto"/>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Хэйлонжан муж , Шаньдун муж, Хэнан муж</w:t>
            </w:r>
          </w:p>
        </w:tc>
      </w:tr>
      <w:tr w:rsidR="00691E10" w:rsidRPr="00691E10" w:rsidTr="00035EDE">
        <w:trPr>
          <w:trHeight w:val="300"/>
        </w:trPr>
        <w:tc>
          <w:tcPr>
            <w:tcW w:w="1257" w:type="dxa"/>
            <w:vMerge/>
            <w:tcBorders>
              <w:left w:val="nil"/>
              <w:right w:val="dotted" w:sz="4" w:space="0" w:color="auto"/>
            </w:tcBorders>
            <w:shd w:val="clear" w:color="auto" w:fill="C6D9F1"/>
          </w:tcPr>
          <w:p w:rsidR="00691E10" w:rsidRPr="00691E10" w:rsidRDefault="00691E10" w:rsidP="00691E10">
            <w:pPr>
              <w:rPr>
                <w:rFonts w:ascii="Times New Roman" w:eastAsia="나눔고딕"/>
                <w:b/>
                <w:bCs/>
                <w:color w:val="365F91"/>
                <w:szCs w:val="20"/>
                <w:lang w:val="mn-MN"/>
              </w:rPr>
            </w:pPr>
          </w:p>
        </w:tc>
        <w:tc>
          <w:tcPr>
            <w:tcW w:w="2702" w:type="dxa"/>
            <w:tcBorders>
              <w:left w:val="dotted" w:sz="4" w:space="0" w:color="auto"/>
              <w:right w:val="dotted" w:sz="4" w:space="0" w:color="auto"/>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Япон</w:t>
            </w:r>
          </w:p>
        </w:tc>
        <w:tc>
          <w:tcPr>
            <w:tcW w:w="5733" w:type="dxa"/>
            <w:tcBorders>
              <w:left w:val="dotted" w:sz="4" w:space="0" w:color="auto"/>
              <w:right w:val="nil"/>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Тояама муж, Хёго муж, Шиманэ муж</w:t>
            </w:r>
          </w:p>
        </w:tc>
      </w:tr>
      <w:tr w:rsidR="00691E10" w:rsidRPr="00691E10" w:rsidTr="00035EDE">
        <w:trPr>
          <w:trHeight w:val="300"/>
        </w:trPr>
        <w:tc>
          <w:tcPr>
            <w:tcW w:w="1257" w:type="dxa"/>
            <w:vMerge/>
            <w:tcBorders>
              <w:right w:val="dotted" w:sz="4" w:space="0" w:color="auto"/>
            </w:tcBorders>
            <w:shd w:val="clear" w:color="auto" w:fill="C6D9F1"/>
          </w:tcPr>
          <w:p w:rsidR="00691E10" w:rsidRPr="00691E10" w:rsidRDefault="00691E10" w:rsidP="00691E10">
            <w:pPr>
              <w:rPr>
                <w:rFonts w:ascii="Times New Roman" w:eastAsia="나눔고딕"/>
                <w:b/>
                <w:bCs/>
                <w:color w:val="365F91"/>
                <w:szCs w:val="20"/>
                <w:lang w:val="mn-MN"/>
              </w:rPr>
            </w:pPr>
          </w:p>
        </w:tc>
        <w:tc>
          <w:tcPr>
            <w:tcW w:w="2702" w:type="dxa"/>
            <w:tcBorders>
              <w:left w:val="dotted" w:sz="4" w:space="0" w:color="auto"/>
              <w:right w:val="dotted" w:sz="4" w:space="0" w:color="auto"/>
            </w:tcBorders>
            <w:shd w:val="clear" w:color="auto" w:fill="auto"/>
            <w:vAlign w:val="center"/>
          </w:tcPr>
          <w:p w:rsidR="00691E10" w:rsidRPr="00691E10" w:rsidRDefault="00691E10" w:rsidP="00691E10">
            <w:pPr>
              <w:rPr>
                <w:rFonts w:ascii="Times New Roman" w:eastAsia="나눔고딕"/>
                <w:color w:val="000000"/>
                <w:szCs w:val="20"/>
                <w:lang w:val="mn-MN"/>
              </w:rPr>
            </w:pPr>
            <w:r w:rsidRPr="00691E10">
              <w:rPr>
                <w:rFonts w:ascii="Times New Roman"/>
                <w:color w:val="000000"/>
                <w:szCs w:val="20"/>
                <w:shd w:val="clear" w:color="auto" w:fill="FFFFFF"/>
                <w:lang w:val="mn-MN"/>
              </w:rPr>
              <w:t>Бүгд Найрамдах Солонгос Улс</w:t>
            </w:r>
          </w:p>
        </w:tc>
        <w:tc>
          <w:tcPr>
            <w:tcW w:w="5733" w:type="dxa"/>
            <w:tcBorders>
              <w:left w:val="dotted" w:sz="4" w:space="0" w:color="auto"/>
              <w:bottom w:val="dotted" w:sz="4" w:space="0" w:color="auto"/>
            </w:tcBorders>
            <w:shd w:val="clear" w:color="auto" w:fill="auto"/>
            <w:vAlign w:val="center"/>
          </w:tcPr>
          <w:p w:rsidR="00691E10" w:rsidRPr="00691E10" w:rsidRDefault="00691E10" w:rsidP="00691E10">
            <w:pPr>
              <w:rPr>
                <w:rFonts w:ascii="Times New Roman" w:eastAsia="나눔고딕"/>
                <w:color w:val="365F91"/>
                <w:szCs w:val="20"/>
                <w:lang w:val="mn-MN"/>
              </w:rPr>
            </w:pPr>
            <w:r w:rsidRPr="00691E10">
              <w:rPr>
                <w:rFonts w:ascii="Times New Roman"/>
                <w:color w:val="000000"/>
                <w:szCs w:val="20"/>
                <w:shd w:val="clear" w:color="auto" w:fill="FFFFFF"/>
                <w:lang w:val="mn-MN"/>
              </w:rPr>
              <w:t>Пусан хот, Кёнги муж, Канвон муж, Чүнчонбүг муж , Чүнчоннам муж, Жоллабүг муж , Кёнсанбүг муж, Кёнсаннам муж</w:t>
            </w:r>
          </w:p>
        </w:tc>
      </w:tr>
      <w:tr w:rsidR="00691E10" w:rsidRPr="00691E10" w:rsidTr="00035EDE">
        <w:trPr>
          <w:trHeight w:val="300"/>
        </w:trPr>
        <w:tc>
          <w:tcPr>
            <w:tcW w:w="1257" w:type="dxa"/>
            <w:vMerge/>
            <w:tcBorders>
              <w:left w:val="nil"/>
              <w:right w:val="dotted" w:sz="4" w:space="0" w:color="auto"/>
            </w:tcBorders>
            <w:shd w:val="clear" w:color="auto" w:fill="C6D9F1"/>
          </w:tcPr>
          <w:p w:rsidR="00691E10" w:rsidRPr="00691E10" w:rsidRDefault="00691E10" w:rsidP="00691E10">
            <w:pPr>
              <w:rPr>
                <w:rFonts w:ascii="Times New Roman" w:eastAsia="나눔고딕"/>
                <w:b/>
                <w:bCs/>
                <w:color w:val="365F91"/>
                <w:szCs w:val="20"/>
                <w:lang w:val="mn-MN"/>
              </w:rPr>
            </w:pPr>
          </w:p>
        </w:tc>
        <w:tc>
          <w:tcPr>
            <w:tcW w:w="2702" w:type="dxa"/>
            <w:tcBorders>
              <w:left w:val="dotted" w:sz="4" w:space="0" w:color="auto"/>
              <w:right w:val="dotted" w:sz="4" w:space="0" w:color="auto"/>
            </w:tcBorders>
            <w:shd w:val="clear" w:color="auto" w:fill="auto"/>
            <w:vAlign w:val="center"/>
          </w:tcPr>
          <w:p w:rsidR="00691E10" w:rsidRPr="00691E10" w:rsidRDefault="00691E10" w:rsidP="00691E10">
            <w:pPr>
              <w:rPr>
                <w:rFonts w:ascii="Times New Roman" w:eastAsia="나눔고딕"/>
                <w:color w:val="000000"/>
                <w:szCs w:val="20"/>
                <w:lang w:val="mn-MN"/>
              </w:rPr>
            </w:pPr>
            <w:r w:rsidRPr="00691E10">
              <w:rPr>
                <w:rFonts w:ascii="Times New Roman"/>
                <w:color w:val="000000"/>
                <w:szCs w:val="20"/>
                <w:shd w:val="clear" w:color="auto" w:fill="FFFFFF"/>
                <w:lang w:val="mn-MN"/>
              </w:rPr>
              <w:t>Монгол Улс</w:t>
            </w:r>
          </w:p>
        </w:tc>
        <w:tc>
          <w:tcPr>
            <w:tcW w:w="5733" w:type="dxa"/>
            <w:tcBorders>
              <w:left w:val="dotted" w:sz="4" w:space="0" w:color="auto"/>
              <w:right w:val="nil"/>
            </w:tcBorders>
            <w:shd w:val="clear" w:color="auto" w:fill="auto"/>
            <w:vAlign w:val="center"/>
          </w:tcPr>
          <w:p w:rsidR="00691E10" w:rsidRPr="00691E10" w:rsidRDefault="00691E10" w:rsidP="00691E10">
            <w:pPr>
              <w:rPr>
                <w:rFonts w:ascii="Times New Roman" w:eastAsia="나눔고딕"/>
                <w:color w:val="000000"/>
                <w:szCs w:val="20"/>
                <w:lang w:val="mn-MN"/>
              </w:rPr>
            </w:pPr>
            <w:r w:rsidRPr="00691E10">
              <w:rPr>
                <w:rFonts w:ascii="Times New Roman"/>
                <w:color w:val="000000"/>
                <w:szCs w:val="20"/>
                <w:shd w:val="clear" w:color="auto" w:fill="FFFFFF"/>
                <w:lang w:val="mn-MN"/>
              </w:rPr>
              <w:t>Төв аймаг</w:t>
            </w:r>
          </w:p>
        </w:tc>
      </w:tr>
      <w:tr w:rsidR="00691E10" w:rsidRPr="00691E10" w:rsidTr="00035EDE">
        <w:trPr>
          <w:trHeight w:val="300"/>
        </w:trPr>
        <w:tc>
          <w:tcPr>
            <w:tcW w:w="1257" w:type="dxa"/>
            <w:vMerge/>
            <w:tcBorders>
              <w:right w:val="dotted" w:sz="4" w:space="0" w:color="auto"/>
            </w:tcBorders>
            <w:shd w:val="clear" w:color="auto" w:fill="C6D9F1"/>
          </w:tcPr>
          <w:p w:rsidR="00691E10" w:rsidRPr="00691E10" w:rsidRDefault="00691E10" w:rsidP="00691E10">
            <w:pPr>
              <w:rPr>
                <w:rFonts w:ascii="Times New Roman" w:eastAsia="나눔고딕"/>
                <w:b/>
                <w:bCs/>
                <w:color w:val="365F91"/>
                <w:szCs w:val="20"/>
                <w:lang w:val="mn-MN"/>
              </w:rPr>
            </w:pPr>
          </w:p>
        </w:tc>
        <w:tc>
          <w:tcPr>
            <w:tcW w:w="2702" w:type="dxa"/>
            <w:tcBorders>
              <w:left w:val="dotted" w:sz="4" w:space="0" w:color="auto"/>
              <w:right w:val="dotted" w:sz="4" w:space="0" w:color="auto"/>
            </w:tcBorders>
            <w:shd w:val="clear" w:color="auto" w:fill="auto"/>
            <w:vAlign w:val="center"/>
          </w:tcPr>
          <w:p w:rsidR="00691E10" w:rsidRPr="00691E10" w:rsidRDefault="00691E10" w:rsidP="00691E10">
            <w:pPr>
              <w:rPr>
                <w:rFonts w:ascii="Times New Roman"/>
                <w:color w:val="000000"/>
                <w:szCs w:val="20"/>
                <w:shd w:val="clear" w:color="auto" w:fill="FFFFFF"/>
                <w:lang w:val="mn-MN"/>
              </w:rPr>
            </w:pPr>
            <w:r w:rsidRPr="00691E10">
              <w:rPr>
                <w:rFonts w:ascii="Times New Roman"/>
                <w:color w:val="000000"/>
                <w:szCs w:val="20"/>
                <w:shd w:val="clear" w:color="auto" w:fill="FFFFFF"/>
                <w:lang w:val="mn-MN"/>
              </w:rPr>
              <w:t>Оросын Холбооны Улс</w:t>
            </w:r>
          </w:p>
        </w:tc>
        <w:tc>
          <w:tcPr>
            <w:tcW w:w="5733" w:type="dxa"/>
            <w:tcBorders>
              <w:left w:val="dotted" w:sz="4" w:space="0" w:color="auto"/>
            </w:tcBorders>
            <w:shd w:val="clear" w:color="auto" w:fill="auto"/>
            <w:vAlign w:val="center"/>
          </w:tcPr>
          <w:p w:rsidR="00691E10" w:rsidRPr="00691E10" w:rsidRDefault="00691E10" w:rsidP="00691E10">
            <w:pPr>
              <w:rPr>
                <w:rFonts w:ascii="Times New Roman"/>
                <w:color w:val="000000"/>
                <w:szCs w:val="20"/>
                <w:shd w:val="clear" w:color="auto" w:fill="FFFFFF"/>
                <w:lang w:val="mn-MN"/>
              </w:rPr>
            </w:pPr>
            <w:r w:rsidRPr="00691E10">
              <w:rPr>
                <w:rFonts w:ascii="Times New Roman"/>
                <w:color w:val="000000"/>
                <w:szCs w:val="20"/>
                <w:shd w:val="clear" w:color="auto" w:fill="FFFFFF"/>
                <w:lang w:val="mn-MN"/>
              </w:rPr>
              <w:t>Сахагийн БНУ, Хабаровск хязгаар, Амур муж, Эрхүү муж , Буриадын БНУ</w:t>
            </w:r>
          </w:p>
        </w:tc>
      </w:tr>
    </w:tbl>
    <w:p w:rsidR="00691E10" w:rsidRPr="00691E10" w:rsidRDefault="00691E10" w:rsidP="00691E10">
      <w:pPr>
        <w:pStyle w:val="a4"/>
        <w:widowControl/>
        <w:wordWrap/>
        <w:autoSpaceDE/>
        <w:autoSpaceDN/>
        <w:ind w:leftChars="0"/>
        <w:rPr>
          <w:rFonts w:ascii="Times New Roman"/>
          <w:color w:val="000000"/>
          <w:szCs w:val="20"/>
          <w:lang w:val="mn-MN"/>
        </w:rPr>
      </w:pPr>
    </w:p>
    <w:p w:rsidR="00691E10" w:rsidRPr="00691E10" w:rsidRDefault="00691E10" w:rsidP="00691E10">
      <w:pPr>
        <w:pStyle w:val="a4"/>
        <w:widowControl/>
        <w:wordWrap/>
        <w:autoSpaceDE/>
        <w:autoSpaceDN/>
        <w:ind w:leftChars="0"/>
        <w:rPr>
          <w:rFonts w:ascii="Times New Roman"/>
          <w:b/>
          <w:color w:val="000000"/>
          <w:szCs w:val="20"/>
          <w:lang w:val="mn-MN"/>
        </w:rPr>
      </w:pPr>
      <w:r w:rsidRPr="00691E10">
        <w:rPr>
          <w:rFonts w:ascii="Times New Roman"/>
          <w:b/>
          <w:color w:val="000000"/>
          <w:szCs w:val="20"/>
          <w:lang w:val="mn-MN"/>
        </w:rPr>
        <w:t>Агуулга</w:t>
      </w:r>
    </w:p>
    <w:p w:rsidR="00691E10" w:rsidRPr="00691E10" w:rsidRDefault="00691E10" w:rsidP="00691E10">
      <w:pPr>
        <w:widowControl/>
        <w:wordWrap/>
        <w:autoSpaceDE/>
        <w:autoSpaceDN/>
        <w:ind w:left="400"/>
        <w:rPr>
          <w:rFonts w:ascii="Times New Roman"/>
          <w:color w:val="000000"/>
          <w:szCs w:val="20"/>
          <w:lang w:val="mn-MN"/>
        </w:rPr>
      </w:pPr>
      <w:r w:rsidRPr="00691E10">
        <w:rPr>
          <w:rFonts w:ascii="Times New Roman"/>
          <w:color w:val="000000"/>
          <w:szCs w:val="20"/>
          <w:lang w:val="mn-MN"/>
        </w:rPr>
        <w:br/>
      </w:r>
      <w:r w:rsidRPr="00691E10">
        <w:rPr>
          <w:rFonts w:ascii="Times New Roman"/>
          <w:b/>
          <w:bCs/>
          <w:color w:val="000000"/>
          <w:szCs w:val="20"/>
          <w:shd w:val="clear" w:color="auto" w:fill="FFFFFF"/>
          <w:lang w:val="mn-MN"/>
        </w:rPr>
        <w:t>Хэлэлцсэн асуудал</w:t>
      </w:r>
    </w:p>
    <w:tbl>
      <w:tblPr>
        <w:tblW w:w="5000" w:type="pct"/>
        <w:tblCellSpacing w:w="0" w:type="dxa"/>
        <w:shd w:val="clear" w:color="auto" w:fill="FFFFFF"/>
        <w:tblCellMar>
          <w:left w:w="0" w:type="dxa"/>
          <w:right w:w="0" w:type="dxa"/>
        </w:tblCellMar>
        <w:tblLook w:val="04A0"/>
      </w:tblPr>
      <w:tblGrid>
        <w:gridCol w:w="9176"/>
      </w:tblGrid>
      <w:tr w:rsidR="00691E10" w:rsidRPr="00691E10"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noProof/>
                <w:color w:val="000000"/>
                <w:kern w:val="0"/>
                <w:szCs w:val="20"/>
                <w:lang w:val="mn-MN"/>
              </w:rPr>
              <w:drawing>
                <wp:inline distT="0" distB="0" distL="0" distR="0">
                  <wp:extent cx="28575" cy="47625"/>
                  <wp:effectExtent l="19050" t="0" r="9525" b="0"/>
                  <wp:docPr id="1" name="Picture 237"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691E10">
              <w:rPr>
                <w:rFonts w:ascii="Times New Roman" w:eastAsia="Times New Roman"/>
                <w:color w:val="000000"/>
                <w:kern w:val="0"/>
                <w:szCs w:val="20"/>
                <w:lang w:val="mn-MN"/>
              </w:rPr>
              <w:t> NEAR Холбооны тэмдгийг гаргах тухай санал</w:t>
            </w:r>
          </w:p>
        </w:tc>
      </w:tr>
      <w:tr w:rsidR="00691E10" w:rsidRPr="00691E10" w:rsidTr="00035EDE">
        <w:trPr>
          <w:trHeight w:val="15"/>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noProof/>
                <w:color w:val="000000"/>
                <w:kern w:val="0"/>
                <w:szCs w:val="20"/>
                <w:lang w:val="mn-MN"/>
              </w:rPr>
              <w:drawing>
                <wp:inline distT="0" distB="0" distL="0" distR="0">
                  <wp:extent cx="28575" cy="47625"/>
                  <wp:effectExtent l="19050" t="0" r="9525" b="0"/>
                  <wp:docPr id="2" name="Picture 236"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691E10">
              <w:rPr>
                <w:rFonts w:ascii="Times New Roman" w:eastAsia="Times New Roman"/>
                <w:color w:val="000000"/>
                <w:kern w:val="0"/>
                <w:szCs w:val="20"/>
                <w:lang w:val="mn-MN"/>
              </w:rPr>
              <w:t> Гишүүн байгууллагуудын ажилтнуудыг Холбооны хэрэг эрхлэх газарт томилон ажиллуулах тухай санал</w:t>
            </w:r>
          </w:p>
        </w:tc>
      </w:tr>
      <w:tr w:rsidR="00691E10" w:rsidRPr="00691E10" w:rsidTr="00035EDE">
        <w:trPr>
          <w:trHeight w:val="15"/>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noProof/>
                <w:color w:val="000000"/>
                <w:kern w:val="0"/>
                <w:szCs w:val="20"/>
                <w:lang w:val="mn-MN"/>
              </w:rPr>
              <w:drawing>
                <wp:inline distT="0" distB="0" distL="0" distR="0">
                  <wp:extent cx="28575" cy="47625"/>
                  <wp:effectExtent l="19050" t="0" r="9525" b="0"/>
                  <wp:docPr id="3" name="Picture 235"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691E10">
              <w:rPr>
                <w:rFonts w:ascii="Times New Roman" w:eastAsia="Times New Roman"/>
                <w:color w:val="000000"/>
                <w:kern w:val="0"/>
                <w:szCs w:val="20"/>
                <w:lang w:val="mn-MN"/>
              </w:rPr>
              <w:t> Шаньдун муж ба Зүүн ход Азийн орон нутаг хоорондын хамтын ажиллагааг бэхжүүлэх</w:t>
            </w:r>
          </w:p>
        </w:tc>
      </w:tr>
      <w:tr w:rsidR="00691E10" w:rsidRPr="00691E10" w:rsidTr="00035EDE">
        <w:trPr>
          <w:trHeight w:val="15"/>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noProof/>
                <w:color w:val="000000"/>
                <w:kern w:val="0"/>
                <w:szCs w:val="20"/>
                <w:lang w:val="mn-MN"/>
              </w:rPr>
              <w:drawing>
                <wp:inline distT="0" distB="0" distL="0" distR="0">
                  <wp:extent cx="28575" cy="47625"/>
                  <wp:effectExtent l="19050" t="0" r="9525" b="0"/>
                  <wp:docPr id="4" name="Picture 234"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691E10">
              <w:rPr>
                <w:rFonts w:ascii="Times New Roman" w:eastAsia="Times New Roman"/>
                <w:color w:val="000000"/>
                <w:kern w:val="0"/>
                <w:szCs w:val="20"/>
                <w:lang w:val="mn-MN"/>
              </w:rPr>
              <w:t> Харбиний 17 дахь удаагийн эдийн засаг, худалдааны уулзалт болон “2006 он Оросын жил” арга хэмжээний зар, урилга</w:t>
            </w:r>
          </w:p>
        </w:tc>
      </w:tr>
      <w:tr w:rsidR="00691E10" w:rsidRPr="00691E10" w:rsidTr="00035EDE">
        <w:trPr>
          <w:trHeight w:val="15"/>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noProof/>
                <w:color w:val="000000"/>
                <w:kern w:val="0"/>
                <w:szCs w:val="20"/>
                <w:lang w:val="mn-MN"/>
              </w:rPr>
              <w:drawing>
                <wp:inline distT="0" distB="0" distL="0" distR="0">
                  <wp:extent cx="28575" cy="47625"/>
                  <wp:effectExtent l="19050" t="0" r="9525" b="0"/>
                  <wp:docPr id="5" name="Picture 233"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691E10">
              <w:rPr>
                <w:rFonts w:ascii="Times New Roman" w:eastAsia="Times New Roman"/>
                <w:color w:val="000000"/>
                <w:kern w:val="0"/>
                <w:szCs w:val="20"/>
                <w:lang w:val="mn-MN"/>
              </w:rPr>
              <w:t>  “Зүүн хойд Азийн эдийн засгийн харилцааны экспо 2006” Япон улсын Тояама мужид болох тухай</w:t>
            </w:r>
          </w:p>
        </w:tc>
      </w:tr>
      <w:tr w:rsidR="00691E10" w:rsidRPr="00691E10" w:rsidTr="00035EDE">
        <w:trPr>
          <w:trHeight w:val="15"/>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rHeight w:val="375"/>
          <w:tblCellSpacing w:w="0" w:type="dxa"/>
        </w:trPr>
        <w:tc>
          <w:tcPr>
            <w:tcW w:w="0" w:type="auto"/>
            <w:shd w:val="clear" w:color="auto" w:fill="FFFFFF"/>
            <w:tcMar>
              <w:top w:w="0" w:type="dxa"/>
              <w:left w:w="150" w:type="dxa"/>
              <w:bottom w:w="0" w:type="dxa"/>
              <w:right w:w="0" w:type="dxa"/>
            </w:tcMar>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noProof/>
                <w:color w:val="000000"/>
                <w:kern w:val="0"/>
                <w:szCs w:val="20"/>
                <w:lang w:val="mn-MN"/>
              </w:rPr>
              <w:drawing>
                <wp:inline distT="0" distB="0" distL="0" distR="0">
                  <wp:extent cx="28575" cy="47625"/>
                  <wp:effectExtent l="19050" t="0" r="9525" b="0"/>
                  <wp:docPr id="6" name="Picture 232" descr="http://www.neargov.org/img/common/ic_orange_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neargov.org/img/common/ic_orange_arrow.gif"/>
                          <pic:cNvPicPr>
                            <a:picLocks noChangeAspect="1" noChangeArrowheads="1"/>
                          </pic:cNvPicPr>
                        </pic:nvPicPr>
                        <pic:blipFill>
                          <a:blip r:embed="rId7"/>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691E10">
              <w:rPr>
                <w:rFonts w:ascii="Times New Roman" w:eastAsia="Times New Roman"/>
                <w:color w:val="000000"/>
                <w:kern w:val="0"/>
                <w:szCs w:val="20"/>
                <w:lang w:val="mn-MN"/>
              </w:rPr>
              <w:t>  Солонгосын бизнес төлөөлөгчид Хабаровск хязгаарт аялах</w:t>
            </w:r>
          </w:p>
        </w:tc>
      </w:tr>
    </w:tbl>
    <w:p w:rsidR="00691E10" w:rsidRPr="00691E10" w:rsidRDefault="00691E10" w:rsidP="00691E10">
      <w:pPr>
        <w:widowControl/>
        <w:wordWrap/>
        <w:autoSpaceDE/>
        <w:autoSpaceDN/>
        <w:rPr>
          <w:rFonts w:ascii="Times New Roman"/>
          <w:b/>
          <w:bCs/>
          <w:color w:val="000000"/>
          <w:szCs w:val="20"/>
          <w:lang w:val="mn-MN"/>
        </w:rPr>
      </w:pPr>
    </w:p>
    <w:p w:rsidR="00691E10" w:rsidRPr="00691E10" w:rsidRDefault="00691E10" w:rsidP="00691E10">
      <w:pPr>
        <w:widowControl/>
        <w:wordWrap/>
        <w:autoSpaceDE/>
        <w:autoSpaceDN/>
        <w:rPr>
          <w:rFonts w:ascii="Times New Roman"/>
          <w:b/>
          <w:bCs/>
          <w:color w:val="000000"/>
          <w:szCs w:val="20"/>
          <w:lang w:val="mn-MN"/>
        </w:rPr>
      </w:pPr>
      <w:r w:rsidRPr="00691E10">
        <w:rPr>
          <w:rFonts w:ascii="Times New Roman"/>
          <w:b/>
          <w:bCs/>
          <w:color w:val="000000"/>
          <w:szCs w:val="20"/>
          <w:lang w:val="mn-MN"/>
        </w:rPr>
        <w:t>Тунхаг</w:t>
      </w:r>
    </w:p>
    <w:tbl>
      <w:tblPr>
        <w:tblW w:w="5000" w:type="pct"/>
        <w:tblCellSpacing w:w="0" w:type="dxa"/>
        <w:shd w:val="clear" w:color="auto" w:fill="FFFFFF"/>
        <w:tblCellMar>
          <w:left w:w="0" w:type="dxa"/>
          <w:right w:w="0" w:type="dxa"/>
        </w:tblCellMar>
        <w:tblLook w:val="04A0"/>
      </w:tblPr>
      <w:tblGrid>
        <w:gridCol w:w="9026"/>
      </w:tblGrid>
      <w:tr w:rsidR="00691E10" w:rsidRPr="00691E10" w:rsidTr="00035EDE">
        <w:trPr>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color w:val="000000"/>
                <w:kern w:val="0"/>
                <w:szCs w:val="20"/>
                <w:lang w:val="mn-MN"/>
              </w:rPr>
              <w:t>2005 оны 11 сарын 30-ны өдөр Солонгосын Пусан хотод Холбооны ажлын хорооны 5-р хурал зохиогдож, монгол, орос, хятад, япон, солонгосын 22 орон нутгийн байгуулагын төлөөлөгчид оролцлоо.</w:t>
            </w:r>
          </w:p>
        </w:tc>
      </w:tr>
      <w:tr w:rsidR="00691E10" w:rsidRPr="00691E10" w:rsidTr="00035EDE">
        <w:trPr>
          <w:trHeight w:val="225"/>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rHeight w:val="285"/>
          <w:tblCellSpacing w:w="0" w:type="dxa"/>
        </w:trPr>
        <w:tc>
          <w:tcPr>
            <w:tcW w:w="0" w:type="auto"/>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color w:val="000000"/>
                <w:kern w:val="0"/>
                <w:szCs w:val="20"/>
                <w:lang w:val="mn-MN"/>
              </w:rPr>
              <w:t>Хурлаар хороодын үйл ажиллагааны тайлан тавигдаж холбооны тэмдгийг гаргах, гишүүн байгууллагын ажилтнуудыг хэрэг эрхлэх газарт төлөөлөгчөөр ажиллуулах зэрэг Холбооны үйл ажиллагааны талаар хэлэлцсэн. Гишүн байгууллагуудаас дараах тайлан, хүсэлтийг тавьсан.</w:t>
            </w:r>
          </w:p>
        </w:tc>
      </w:tr>
    </w:tbl>
    <w:p w:rsidR="00691E10" w:rsidRPr="00691E10" w:rsidRDefault="00691E10" w:rsidP="00691E10">
      <w:pPr>
        <w:pStyle w:val="a4"/>
        <w:widowControl/>
        <w:numPr>
          <w:ilvl w:val="0"/>
          <w:numId w:val="3"/>
        </w:numPr>
        <w:shd w:val="clear" w:color="auto" w:fill="FFFFFF"/>
        <w:wordWrap/>
        <w:autoSpaceDE/>
        <w:autoSpaceDN/>
        <w:spacing w:before="100" w:beforeAutospacing="1" w:after="100" w:afterAutospacing="1" w:line="240" w:lineRule="atLeast"/>
        <w:ind w:leftChars="0"/>
        <w:rPr>
          <w:rFonts w:ascii="Times New Roman" w:eastAsia="Times New Roman"/>
          <w:color w:val="000000"/>
          <w:kern w:val="0"/>
          <w:szCs w:val="20"/>
          <w:lang w:val="mn-MN"/>
        </w:rPr>
      </w:pPr>
      <w:r w:rsidRPr="00691E10">
        <w:rPr>
          <w:rFonts w:ascii="Times New Roman" w:eastAsia="Times New Roman"/>
          <w:b/>
          <w:bCs/>
          <w:color w:val="000000"/>
          <w:kern w:val="0"/>
          <w:szCs w:val="20"/>
          <w:lang w:val="mn-MN"/>
        </w:rPr>
        <w:t>Салбар хороодын үйл ажиллагааны тайлан</w:t>
      </w:r>
    </w:p>
    <w:p w:rsidR="00691E10" w:rsidRPr="00691E10" w:rsidRDefault="00691E10" w:rsidP="00691E10">
      <w:pPr>
        <w:widowControl/>
        <w:shd w:val="clear" w:color="auto" w:fill="FFFFFF"/>
        <w:wordWrap/>
        <w:autoSpaceDE/>
        <w:autoSpaceDN/>
        <w:spacing w:before="100" w:beforeAutospacing="1" w:after="100" w:afterAutospacing="1" w:line="240" w:lineRule="atLeast"/>
        <w:rPr>
          <w:rFonts w:ascii="Times New Roman" w:eastAsia="Times New Roman"/>
          <w:color w:val="000000"/>
          <w:kern w:val="0"/>
          <w:szCs w:val="20"/>
          <w:lang w:val="mn-MN"/>
        </w:rPr>
      </w:pPr>
      <w:r w:rsidRPr="00691E10">
        <w:rPr>
          <w:rFonts w:ascii="Times New Roman" w:eastAsia="Times New Roman"/>
          <w:color w:val="000000"/>
          <w:kern w:val="0"/>
          <w:szCs w:val="20"/>
          <w:lang w:val="mn-MN"/>
        </w:rPr>
        <w:t>Салбар хороодын зохицуулагч байгууллагууд хорооны үйл ажиллагааны тайланг тавьсан. </w:t>
      </w:r>
    </w:p>
    <w:tbl>
      <w:tblPr>
        <w:tblW w:w="0" w:type="auto"/>
        <w:tblCellSpacing w:w="0" w:type="dxa"/>
        <w:shd w:val="clear" w:color="auto" w:fill="FFFFFF"/>
        <w:tblCellMar>
          <w:left w:w="0" w:type="dxa"/>
          <w:right w:w="0" w:type="dxa"/>
        </w:tblCellMar>
        <w:tblLook w:val="04A0"/>
      </w:tblPr>
      <w:tblGrid>
        <w:gridCol w:w="270"/>
        <w:gridCol w:w="8756"/>
      </w:tblGrid>
      <w:tr w:rsidR="00691E10" w:rsidRPr="00691E10" w:rsidTr="00035EDE">
        <w:trPr>
          <w:trHeight w:val="225"/>
          <w:tblCellSpacing w:w="0" w:type="dxa"/>
        </w:trPr>
        <w:tc>
          <w:tcPr>
            <w:tcW w:w="0" w:type="auto"/>
            <w:gridSpan w:val="2"/>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blCellSpacing w:w="0" w:type="dxa"/>
        </w:trPr>
        <w:tc>
          <w:tcPr>
            <w:tcW w:w="270" w:type="dxa"/>
            <w:tcBorders>
              <w:top w:val="nil"/>
              <w:left w:val="nil"/>
              <w:bottom w:val="nil"/>
              <w:right w:val="nil"/>
            </w:tcBorders>
            <w:shd w:val="clear" w:color="auto" w:fill="FFFFFF"/>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Cambria Math" w:eastAsia="Times New Roman" w:hAnsi="Cambria Math"/>
                <w:color w:val="000000"/>
                <w:kern w:val="0"/>
                <w:szCs w:val="20"/>
                <w:lang w:val="mn-MN"/>
              </w:rPr>
              <w:t>①</w:t>
            </w:r>
          </w:p>
        </w:tc>
        <w:tc>
          <w:tcPr>
            <w:tcW w:w="0" w:type="auto"/>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b/>
                <w:bCs/>
                <w:color w:val="000000"/>
                <w:kern w:val="0"/>
                <w:szCs w:val="20"/>
                <w:lang w:val="mn-MN"/>
              </w:rPr>
              <w:t>Эдийн засаг, худалдааны хороо </w:t>
            </w:r>
            <w:r w:rsidRPr="00691E10">
              <w:rPr>
                <w:rFonts w:ascii="Times New Roman" w:eastAsia="Times New Roman"/>
                <w:color w:val="000000"/>
                <w:kern w:val="0"/>
                <w:szCs w:val="20"/>
                <w:lang w:val="mn-MN"/>
              </w:rPr>
              <w:br/>
              <w:t>Кёнсанбүг муж гишүүн байгууллагуудын харилцан ашигтай, эдийн засаг, худалдааны харилцааг нэмэгдүүлэхийн тулд 2004 оны 10 сарын 5-8-ны өдрүүдэд Кёнжү хотноо Зүүн хойд Азийн бизнесийг дэмжих хурал зохион байгуулсан. Хуралд 5 улсын 19 байгууллагын 441 төлөөлөгч оролцсон.</w:t>
            </w:r>
          </w:p>
        </w:tc>
      </w:tr>
      <w:tr w:rsidR="00691E10" w:rsidRPr="00691E10" w:rsidTr="00035EDE">
        <w:trPr>
          <w:trHeight w:val="285"/>
          <w:tblCellSpacing w:w="0" w:type="dxa"/>
        </w:trPr>
        <w:tc>
          <w:tcPr>
            <w:tcW w:w="0" w:type="auto"/>
            <w:gridSpan w:val="2"/>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blCellSpacing w:w="0" w:type="dxa"/>
        </w:trPr>
        <w:tc>
          <w:tcPr>
            <w:tcW w:w="0" w:type="auto"/>
            <w:tcBorders>
              <w:top w:val="nil"/>
              <w:left w:val="nil"/>
              <w:bottom w:val="nil"/>
              <w:right w:val="nil"/>
            </w:tcBorders>
            <w:shd w:val="clear" w:color="auto" w:fill="FFFFFF"/>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Cambria Math" w:eastAsia="Times New Roman" w:hAnsi="Cambria Math"/>
                <w:color w:val="000000"/>
                <w:kern w:val="0"/>
                <w:szCs w:val="20"/>
                <w:lang w:val="mn-MN"/>
              </w:rPr>
              <w:t>②</w:t>
            </w:r>
          </w:p>
        </w:tc>
        <w:tc>
          <w:tcPr>
            <w:tcW w:w="0" w:type="auto"/>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b/>
                <w:bCs/>
                <w:color w:val="000000"/>
                <w:kern w:val="0"/>
                <w:szCs w:val="20"/>
                <w:lang w:val="mn-MN"/>
              </w:rPr>
              <w:t>Соёлын харилцааны хороо </w:t>
            </w:r>
            <w:r w:rsidRPr="00691E10">
              <w:rPr>
                <w:rFonts w:ascii="Times New Roman" w:eastAsia="Times New Roman"/>
                <w:color w:val="000000"/>
                <w:kern w:val="0"/>
                <w:szCs w:val="20"/>
                <w:lang w:val="mn-MN"/>
              </w:rPr>
              <w:br/>
              <w:t xml:space="preserve">Гишүүн байгууллагуудын соёлын харилцааг өргөжүүлэхийн тулд соёлын харилцааны салбар хорооны вэбсайт байгуулах, залуучуудын харилцааны арга хэмжээ болон Зүүн хойд Азийн </w:t>
            </w:r>
            <w:r w:rsidRPr="00691E10">
              <w:rPr>
                <w:rFonts w:ascii="Times New Roman" w:eastAsia="Times New Roman"/>
                <w:color w:val="000000"/>
                <w:kern w:val="0"/>
                <w:szCs w:val="20"/>
                <w:lang w:val="mn-MN"/>
              </w:rPr>
              <w:lastRenderedPageBreak/>
              <w:t>уламжлалт урлагийн хамтлагийг урин өөрийн мужид тоглуулсан зэрэг арга хэмжээг танилцуулсан.</w:t>
            </w:r>
          </w:p>
        </w:tc>
      </w:tr>
      <w:tr w:rsidR="00691E10" w:rsidRPr="00691E10" w:rsidTr="00035EDE">
        <w:trPr>
          <w:trHeight w:val="225"/>
          <w:tblCellSpacing w:w="0" w:type="dxa"/>
        </w:trPr>
        <w:tc>
          <w:tcPr>
            <w:tcW w:w="0" w:type="auto"/>
            <w:gridSpan w:val="2"/>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blCellSpacing w:w="0" w:type="dxa"/>
        </w:trPr>
        <w:tc>
          <w:tcPr>
            <w:tcW w:w="0" w:type="auto"/>
            <w:tcBorders>
              <w:top w:val="nil"/>
              <w:left w:val="nil"/>
              <w:bottom w:val="nil"/>
              <w:right w:val="nil"/>
            </w:tcBorders>
            <w:shd w:val="clear" w:color="auto" w:fill="FFFFFF"/>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Cambria Math" w:eastAsia="Times New Roman" w:hAnsi="Cambria Math"/>
                <w:color w:val="000000"/>
                <w:kern w:val="0"/>
                <w:szCs w:val="20"/>
                <w:lang w:val="mn-MN"/>
              </w:rPr>
              <w:t>③</w:t>
            </w:r>
          </w:p>
        </w:tc>
        <w:tc>
          <w:tcPr>
            <w:tcW w:w="0" w:type="auto"/>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Times New Roman" w:eastAsia="Times New Roman"/>
                <w:b/>
                <w:bCs/>
                <w:color w:val="000000"/>
                <w:kern w:val="0"/>
                <w:szCs w:val="20"/>
                <w:lang w:val="mn-MN"/>
              </w:rPr>
              <w:t>Байгаль орчны хороо</w:t>
            </w:r>
            <w:r w:rsidRPr="00691E10">
              <w:rPr>
                <w:rFonts w:ascii="Times New Roman" w:eastAsia="Times New Roman"/>
                <w:color w:val="000000"/>
                <w:kern w:val="0"/>
                <w:szCs w:val="20"/>
                <w:lang w:val="mn-MN"/>
              </w:rPr>
              <w:br/>
              <w:t>2005 оны 7 сарын 14-ний өдөр байгаль орчны эд хороны 7-р хурал зохиож хуралд 5 улсын 14 байгууллага оролцсон. Хурлаар гишүүн байгууллагуудын байгаль орчны байдал, 2005 оны төлсийн хэрэгжилтийн байдлыг танилцуулж, 2006 оны ажлын саналын талаар хэлэлцсэн.</w:t>
            </w:r>
          </w:p>
        </w:tc>
      </w:tr>
      <w:tr w:rsidR="00691E10" w:rsidRPr="00691E10" w:rsidTr="00035EDE">
        <w:trPr>
          <w:trHeight w:val="225"/>
          <w:tblCellSpacing w:w="0" w:type="dxa"/>
        </w:trPr>
        <w:tc>
          <w:tcPr>
            <w:tcW w:w="0" w:type="auto"/>
            <w:gridSpan w:val="2"/>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p>
        </w:tc>
      </w:tr>
      <w:tr w:rsidR="00691E10" w:rsidRPr="00691E10" w:rsidTr="00035EDE">
        <w:trPr>
          <w:tblCellSpacing w:w="0" w:type="dxa"/>
        </w:trPr>
        <w:tc>
          <w:tcPr>
            <w:tcW w:w="0" w:type="auto"/>
            <w:tcBorders>
              <w:top w:val="nil"/>
              <w:left w:val="nil"/>
              <w:bottom w:val="nil"/>
              <w:right w:val="nil"/>
            </w:tcBorders>
            <w:shd w:val="clear" w:color="auto" w:fill="FFFFFF"/>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lang w:val="mn-MN"/>
              </w:rPr>
            </w:pPr>
            <w:r w:rsidRPr="00691E10">
              <w:rPr>
                <w:rFonts w:ascii="Cambria Math" w:eastAsia="Times New Roman" w:hAnsi="Cambria Math"/>
                <w:color w:val="000000"/>
                <w:kern w:val="0"/>
                <w:szCs w:val="20"/>
                <w:lang w:val="mn-MN"/>
              </w:rPr>
              <w:t>④</w:t>
            </w:r>
          </w:p>
        </w:tc>
        <w:tc>
          <w:tcPr>
            <w:tcW w:w="0" w:type="auto"/>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맑은 고딕"/>
                <w:color w:val="000000"/>
                <w:kern w:val="0"/>
                <w:szCs w:val="20"/>
                <w:lang w:val="mn-MN"/>
              </w:rPr>
            </w:pPr>
            <w:r w:rsidRPr="00691E10">
              <w:rPr>
                <w:rFonts w:ascii="Times New Roman" w:eastAsia="Times New Roman"/>
                <w:b/>
                <w:bCs/>
                <w:color w:val="000000"/>
                <w:kern w:val="0"/>
                <w:szCs w:val="20"/>
                <w:lang w:val="mn-MN"/>
              </w:rPr>
              <w:t>Ерөнхий харилцааны хороо</w:t>
            </w:r>
            <w:r w:rsidRPr="00691E10">
              <w:rPr>
                <w:rFonts w:ascii="Times New Roman" w:eastAsia="Times New Roman"/>
                <w:color w:val="000000"/>
                <w:kern w:val="0"/>
                <w:szCs w:val="20"/>
                <w:lang w:val="mn-MN"/>
              </w:rPr>
              <w:br/>
              <w:t>Зүүн хойд Азийн бүсийн мэдээллийн харилцаа, боловсон хүчнийг хөгжүүлэхэд хувь нэмэр оруулахын тулд гишүүн байгууллагуудын байдлыг судалж, түүний үр дүнг Тояама мужийн вэбсайтаар танилцуулсан. Гишүүн байгууллагуудын вебсайтыг холбох, гадаад хэлээр ажиллуулах зэргээр мэдээллийн харилцааг идэвхжүүлэх төлөвлөгөөг танилцуулсан. Мөн боловсон хүчний харилцааны талаар гишүүн байгууллагуудаас явуулж буй ажлыг үр дүнтэй болгоход хичээж орон нутгууд хамтран ажил явуулах төлөвлөгөө</w:t>
            </w:r>
          </w:p>
          <w:p w:rsidR="00691E10" w:rsidRPr="00691E10" w:rsidRDefault="00691E10" w:rsidP="00691E10">
            <w:pPr>
              <w:widowControl/>
              <w:wordWrap/>
              <w:autoSpaceDE/>
              <w:autoSpaceDN/>
              <w:spacing w:line="240" w:lineRule="atLeast"/>
              <w:rPr>
                <w:rFonts w:ascii="Times New Roman" w:eastAsia="맑은 고딕"/>
                <w:b/>
                <w:color w:val="000000"/>
                <w:kern w:val="0"/>
                <w:szCs w:val="20"/>
                <w:lang w:val="mn-MN"/>
              </w:rPr>
            </w:pPr>
          </w:p>
        </w:tc>
      </w:tr>
      <w:tr w:rsidR="00691E10" w:rsidRPr="00691E10" w:rsidTr="00035EDE">
        <w:trPr>
          <w:trHeight w:val="225"/>
          <w:tblCellSpacing w:w="0" w:type="dxa"/>
        </w:trPr>
        <w:tc>
          <w:tcPr>
            <w:tcW w:w="0" w:type="auto"/>
            <w:gridSpan w:val="2"/>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맑은 고딕"/>
                <w:b/>
                <w:color w:val="000000"/>
                <w:kern w:val="0"/>
                <w:szCs w:val="20"/>
                <w:lang w:val="mn-MN"/>
              </w:rPr>
            </w:pPr>
            <w:r w:rsidRPr="00691E10">
              <w:rPr>
                <w:rFonts w:ascii="맑은 고딕" w:eastAsia="맑은 고딕" w:hAnsi="맑은 고딕"/>
                <w:b/>
                <w:color w:val="000000"/>
                <w:kern w:val="0"/>
                <w:szCs w:val="20"/>
                <w:lang w:val="mn-MN"/>
              </w:rPr>
              <w:t>⑤</w:t>
            </w:r>
            <w:r w:rsidRPr="00691E10">
              <w:rPr>
                <w:rFonts w:ascii="Times New Roman" w:eastAsia="맑은 고딕"/>
                <w:b/>
                <w:color w:val="000000"/>
                <w:kern w:val="0"/>
                <w:szCs w:val="20"/>
                <w:lang w:val="mn-MN"/>
              </w:rPr>
              <w:t xml:space="preserve"> Гамшгаас сэргийлэх хороо</w:t>
            </w:r>
          </w:p>
          <w:p w:rsidR="00691E10" w:rsidRPr="00691E10" w:rsidRDefault="00691E10" w:rsidP="00691E10">
            <w:pPr>
              <w:widowControl/>
              <w:wordWrap/>
              <w:autoSpaceDE/>
              <w:autoSpaceDN/>
              <w:spacing w:line="240" w:lineRule="atLeast"/>
              <w:rPr>
                <w:rFonts w:ascii="Times New Roman" w:eastAsia="맑은 고딕"/>
                <w:color w:val="000000"/>
                <w:kern w:val="0"/>
                <w:szCs w:val="20"/>
                <w:lang w:val="mn-MN"/>
              </w:rPr>
            </w:pPr>
            <w:r w:rsidRPr="00691E10">
              <w:rPr>
                <w:rFonts w:ascii="Times New Roman" w:eastAsia="맑은 고딕"/>
                <w:color w:val="000000"/>
                <w:kern w:val="0"/>
                <w:szCs w:val="20"/>
                <w:lang w:val="mn-MN"/>
              </w:rPr>
              <w:t>Хёго муж Ханшиний хүчтэй газар хөдлөлт болсны 10 жилийн ойг угтан 2005 оны 2 сарын 1-ний өдрөөс 4 өдөр 5 улсын 9 орон нутаг оролцсон 3 дахь удаагийн хорооны хурлыг зохиож, улс орнуудын гамшгаас сэргийлэх чадварыг сайжруулахад хувь нэмэр оруулахын тулд лекц унших, гамшгаас сэргийлэх байгууламжтай танилцах хөтөблөр зохиосон ба ирэх жилийн 2 сард зохиогдох тус хорооны 4р хуралд оролцохыг уриалсан.</w:t>
            </w:r>
          </w:p>
        </w:tc>
      </w:tr>
      <w:tr w:rsidR="00691E10" w:rsidRPr="00691E10" w:rsidTr="00035EDE">
        <w:trPr>
          <w:tblCellSpacing w:w="0" w:type="dxa"/>
        </w:trPr>
        <w:tc>
          <w:tcPr>
            <w:tcW w:w="0" w:type="auto"/>
            <w:tcBorders>
              <w:top w:val="nil"/>
              <w:left w:val="nil"/>
              <w:bottom w:val="nil"/>
              <w:right w:val="nil"/>
            </w:tcBorders>
            <w:shd w:val="clear" w:color="auto" w:fill="FFFFFF"/>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highlight w:val="yellow"/>
                <w:lang w:val="mn-MN"/>
              </w:rPr>
            </w:pPr>
          </w:p>
        </w:tc>
        <w:tc>
          <w:tcPr>
            <w:tcW w:w="0" w:type="auto"/>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highlight w:val="yellow"/>
                <w:lang w:val="mn-MN"/>
              </w:rPr>
            </w:pPr>
          </w:p>
        </w:tc>
      </w:tr>
      <w:tr w:rsidR="00691E10" w:rsidRPr="00691E10" w:rsidTr="00035EDE">
        <w:trPr>
          <w:trHeight w:val="225"/>
          <w:tblCellSpacing w:w="0" w:type="dxa"/>
        </w:trPr>
        <w:tc>
          <w:tcPr>
            <w:tcW w:w="0" w:type="auto"/>
            <w:gridSpan w:val="2"/>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rPr>
                <w:rFonts w:ascii="Times New Roman" w:eastAsia="Times New Roman"/>
                <w:color w:val="000000"/>
                <w:kern w:val="0"/>
                <w:szCs w:val="20"/>
                <w:highlight w:val="yellow"/>
                <w:lang w:val="mn-MN"/>
              </w:rPr>
            </w:pPr>
          </w:p>
        </w:tc>
      </w:tr>
      <w:tr w:rsidR="00691E10" w:rsidRPr="00691E10" w:rsidTr="00035EDE">
        <w:trPr>
          <w:tblCellSpacing w:w="0" w:type="dxa"/>
        </w:trPr>
        <w:tc>
          <w:tcPr>
            <w:tcW w:w="0" w:type="auto"/>
            <w:tcBorders>
              <w:top w:val="nil"/>
              <w:left w:val="nil"/>
              <w:bottom w:val="nil"/>
              <w:right w:val="nil"/>
            </w:tcBorders>
            <w:shd w:val="clear" w:color="auto" w:fill="FFFFFF"/>
            <w:hideMark/>
          </w:tcPr>
          <w:p w:rsidR="00691E10" w:rsidRPr="00691E10" w:rsidRDefault="00691E10" w:rsidP="00691E10">
            <w:pPr>
              <w:widowControl/>
              <w:wordWrap/>
              <w:autoSpaceDE/>
              <w:autoSpaceDN/>
              <w:spacing w:line="240" w:lineRule="atLeast"/>
              <w:rPr>
                <w:rFonts w:ascii="Times New Roman" w:eastAsia="Times New Roman"/>
                <w:kern w:val="0"/>
                <w:szCs w:val="20"/>
                <w:lang w:val="mn-MN"/>
              </w:rPr>
            </w:pPr>
            <w:r w:rsidRPr="00691E10">
              <w:rPr>
                <w:rFonts w:ascii="Cambria Math" w:eastAsia="Times New Roman" w:hAnsi="Cambria Math"/>
                <w:kern w:val="0"/>
                <w:szCs w:val="20"/>
                <w:lang w:val="mn-MN"/>
              </w:rPr>
              <w:t>⑥</w:t>
            </w:r>
          </w:p>
        </w:tc>
        <w:tc>
          <w:tcPr>
            <w:tcW w:w="0" w:type="auto"/>
            <w:tcBorders>
              <w:top w:val="nil"/>
              <w:left w:val="nil"/>
              <w:bottom w:val="nil"/>
              <w:right w:val="nil"/>
            </w:tcBorders>
            <w:shd w:val="clear" w:color="auto" w:fill="FFFFFF"/>
            <w:vAlign w:val="center"/>
            <w:hideMark/>
          </w:tcPr>
          <w:p w:rsidR="00691E10" w:rsidRPr="00691E10" w:rsidRDefault="00691E10" w:rsidP="00691E10">
            <w:pPr>
              <w:widowControl/>
              <w:wordWrap/>
              <w:autoSpaceDE/>
              <w:autoSpaceDN/>
              <w:spacing w:line="240" w:lineRule="atLeast"/>
              <w:ind w:firstLineChars="50" w:firstLine="98"/>
              <w:rPr>
                <w:rFonts w:ascii="Times New Roman"/>
                <w:b/>
                <w:bCs/>
                <w:kern w:val="0"/>
                <w:szCs w:val="20"/>
                <w:lang w:val="mn-MN"/>
              </w:rPr>
            </w:pPr>
            <w:r w:rsidRPr="00691E10">
              <w:rPr>
                <w:rFonts w:ascii="Times New Roman"/>
                <w:b/>
                <w:bCs/>
                <w:kern w:val="0"/>
                <w:szCs w:val="20"/>
                <w:lang w:val="mn-MN"/>
              </w:rPr>
              <w:t>Хилийн хамтын ажиллагааны хороо</w:t>
            </w:r>
          </w:p>
          <w:p w:rsidR="00691E10" w:rsidRPr="00691E10" w:rsidRDefault="00691E10" w:rsidP="00691E10">
            <w:pPr>
              <w:widowControl/>
              <w:wordWrap/>
              <w:autoSpaceDE/>
              <w:autoSpaceDN/>
              <w:spacing w:line="240" w:lineRule="atLeast"/>
              <w:ind w:firstLineChars="50" w:firstLine="100"/>
              <w:rPr>
                <w:rFonts w:ascii="Times New Roman" w:eastAsia="Times New Roman"/>
                <w:b/>
                <w:kern w:val="0"/>
                <w:szCs w:val="20"/>
                <w:lang w:val="mn-MN"/>
              </w:rPr>
            </w:pPr>
            <w:r w:rsidRPr="00691E10">
              <w:rPr>
                <w:rFonts w:ascii="Times New Roman" w:eastAsia="Times New Roman"/>
                <w:bCs/>
                <w:kern w:val="0"/>
                <w:szCs w:val="20"/>
                <w:lang w:val="mn-MN"/>
              </w:rPr>
              <w:t>Хилийн хамтын ажиллагааг идэвхжүүлэх арга зам ба Зүүн хойд Азийн бүс нутгийн аялал жуулчлалыг идэвхжүүлэхийн тулд 2005 оны 6 сарын 7-ны өдөр Хабаровск хотноо зохиогдсон хуралд 3 улсын 12 орон нутаг оролцож шийдвэр гаргаж тайлагнасан.</w:t>
            </w:r>
            <w:r w:rsidRPr="00691E10">
              <w:rPr>
                <w:rFonts w:ascii="Times New Roman" w:eastAsia="Times New Roman"/>
                <w:kern w:val="0"/>
                <w:szCs w:val="20"/>
                <w:lang w:val="mn-MN"/>
              </w:rPr>
              <w:br/>
            </w:r>
          </w:p>
          <w:p w:rsidR="00691E10" w:rsidRPr="00691E10" w:rsidRDefault="00691E10" w:rsidP="00691E10">
            <w:pPr>
              <w:widowControl/>
              <w:numPr>
                <w:ilvl w:val="0"/>
                <w:numId w:val="3"/>
              </w:numPr>
              <w:wordWrap/>
              <w:autoSpaceDE/>
              <w:autoSpaceDN/>
              <w:spacing w:line="240" w:lineRule="atLeast"/>
              <w:rPr>
                <w:rFonts w:ascii="Times New Roman" w:eastAsia="Times New Roman"/>
                <w:b/>
                <w:kern w:val="0"/>
                <w:szCs w:val="20"/>
                <w:lang w:val="mn-MN"/>
              </w:rPr>
            </w:pPr>
            <w:r w:rsidRPr="00691E10">
              <w:rPr>
                <w:rFonts w:ascii="Times New Roman" w:eastAsia="Times New Roman"/>
                <w:b/>
                <w:kern w:val="0"/>
                <w:szCs w:val="20"/>
                <w:lang w:val="mn-MN"/>
              </w:rPr>
              <w:t>Санал хэлэлцүүлэг</w:t>
            </w: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Холбооны тэмдгийг гаргах тухай</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Холбооны хэрэг эрхлэх газраас Хэйлонжаны Бүгд хурлаар гаргасан Холбооны тэмдэг гаргах ажлын явцыг тайлагнаж цаашид тэмдэг гаргах хороог байгуулахаар болсон.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 xml:space="preserve">Гишүүн байгууллагын ажилтнуудыг Холбооны Хэрэг эрхлэх газарт ажиллуулах тухай.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Холбооны Хэрэг эрхлэх газраас гишүүн улс бүрээс нэг ажилтныг тус газарт ажиллуулах санал тавьсан. Гишүүн байгууллагууд зарчмын хувьд үүнийг дэмжсэн бөгөөд дэлгэрэнгүй асуудлыг цаашид хэлэлцэхээр болсон.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Шаньдун муж ба Зүүн хойд Азийн бүсийн орон нутгийн хамтын ажиллагааг бэхжүүлэх</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Шаньдун мужийн эдийн засгийн өнөөгийн байдал ба Зүүн хойд Азийн бүсийн улсуудтай харилцааны байдлыг танилцуулж 2008 онд Холбооны Бүгд хурлыг зохион байгуулах талаар танилцуулсан.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Харбины эдийн засаг худалдааны 17-р уулзалт болон 2006 оны Оросын жил арга хэмжээ</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Тус мужаас 2006 оныг Оросын жил болгон зарлаж байгаатай холбогдуулан 22 дахь удаагийн Харбины цас мөсний баяр болон 17 дахь удаагийн Харбины эдийн засаг худалдааны уулзалт зэрэг арга хэмжээнүүдэд идэвхтэй оролцохыг хүссэн.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Зүүн хойд Азийн эдийн засгийн харилцааны Экспо 2006</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Тус мужаас Зүүн хойд Азийн эдийн засгийн харилцааг идэвхжүүлэхийн тулд “Зүүн Хойд Азийн эдийн засгийн худалдааны экспо 2006” арга хэмжээг зохиож байгаа бөгөөд гишүүн байгууллагуудыг идэвхтэй оролцохыг хүссэн.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Солонгосын бизнесийн төлөөлөгчид Хабаровскт айлчилсан</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Хабаровск хязгаар Ази номхон далайн эдийн засгийн хамтын ажиллагааны Орос улсын хорооноос зохион байгуулах Солонгосын бизнесийн төлөөлөгчдийг Хабаровск хязгаарт айлчлуулах тухай танилцуулсан. Мөн 2006 онд зохиогдох Холбооны 6-р Бүгд хурлаар </w:t>
            </w:r>
            <w:r w:rsidRPr="00691E10">
              <w:rPr>
                <w:rFonts w:ascii="Times New Roman" w:eastAsia="Times New Roman"/>
                <w:kern w:val="0"/>
                <w:szCs w:val="20"/>
                <w:lang w:val="mn-MN"/>
              </w:rPr>
              <w:lastRenderedPageBreak/>
              <w:t xml:space="preserve">Хабаровк хязгаар зохицуулагчаар ажиллаж буй хилийн хамтын ажиллагааны хорооны хурлыг зохиох тухай хэлэлцэхийг хүссэн.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 xml:space="preserve">Хятадын Хэнан мужид олон улсын хөрөнгө оруулалт, худалдааны 4-р уулзалт болно.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Хэнан мужийн ардын засаг Хятадын олон улсын худалдааг дэмжих хорооноос 2006 оны 4 сарын 12-14-ны өдрүүдэд олон улсын хөрөнгө оруулалт, худалдааны 4-р уулзалт зохионо. Хятадын худалдааны яамнаас дэмжлэг үзүүлэх ба Солонгос, Япон, Америк, Европ зэрэг эдийн засгийн зөвлөлөөс хамтран оролцох уулзалт аж үйлдвэр, нийтийн байгууламж, гадаад худалдаа тээвэр, санхүү, даатгал, мэдээлэл боловсрол, эрүүл мэнд зэрэг чиглэлээр болно. Хэнан муж гишүүн байгууллагуудыг үүнд идэвхтэй оролцохыг уриалсан.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p>
          <w:p w:rsidR="00691E10" w:rsidRPr="00691E10" w:rsidRDefault="00691E10" w:rsidP="00691E10">
            <w:pPr>
              <w:widowControl/>
              <w:numPr>
                <w:ilvl w:val="0"/>
                <w:numId w:val="4"/>
              </w:numPr>
              <w:wordWrap/>
              <w:autoSpaceDE/>
              <w:autoSpaceDN/>
              <w:spacing w:line="240" w:lineRule="atLeast"/>
              <w:rPr>
                <w:rFonts w:ascii="Times New Roman" w:eastAsia="Times New Roman"/>
                <w:kern w:val="0"/>
                <w:szCs w:val="20"/>
                <w:lang w:val="mn-MN"/>
              </w:rPr>
            </w:pPr>
            <w:r w:rsidRPr="00691E10">
              <w:rPr>
                <w:rFonts w:ascii="Times New Roman" w:eastAsia="Times New Roman"/>
                <w:kern w:val="0"/>
                <w:szCs w:val="20"/>
                <w:lang w:val="mn-MN"/>
              </w:rPr>
              <w:t xml:space="preserve"> 6-р Бүгд хурал зохиох тухай</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Пусан хот Холбооны 6-р Бүгд хурлыг 9 сарын дундуур зохиохоор төлөвлөсөн бөгөөд орон нутгуудын саналуудыг авч 2 сарын дундуур эцсийн шийдвэр гаргана. Ирэх жилийн бүгд хуралд Хойд Солонгосын Хамгёнбүг муж, Расон хотыг оролцуулах талаар гишүүн байгууллагууд хичээхийг хүссэн. </w:t>
            </w:r>
          </w:p>
          <w:p w:rsidR="00691E10" w:rsidRPr="00691E10" w:rsidRDefault="00691E10" w:rsidP="00691E10">
            <w:pPr>
              <w:widowControl/>
              <w:wordWrap/>
              <w:autoSpaceDE/>
              <w:autoSpaceDN/>
              <w:spacing w:line="240" w:lineRule="atLeast"/>
              <w:ind w:left="760"/>
              <w:rPr>
                <w:rFonts w:ascii="Times New Roman" w:eastAsia="Times New Roman"/>
                <w:kern w:val="0"/>
                <w:szCs w:val="20"/>
                <w:lang w:val="mn-MN"/>
              </w:rPr>
            </w:pPr>
            <w:r w:rsidRPr="00691E10">
              <w:rPr>
                <w:rFonts w:ascii="Times New Roman" w:eastAsia="Times New Roman"/>
                <w:kern w:val="0"/>
                <w:szCs w:val="20"/>
                <w:lang w:val="mn-MN"/>
              </w:rPr>
              <w:t xml:space="preserve">Үүгээр холбооны ажлын хорооны 5-р хурал өндөрлөсөн ба хурлын протоколыг солонгос, хятад, орос, япон хэлээр хийж гишүүн байгууллагуудад тараана. </w:t>
            </w:r>
          </w:p>
          <w:p w:rsidR="00691E10" w:rsidRPr="00691E10" w:rsidRDefault="00691E10" w:rsidP="00691E10">
            <w:pPr>
              <w:widowControl/>
              <w:wordWrap/>
              <w:autoSpaceDE/>
              <w:autoSpaceDN/>
              <w:spacing w:line="240" w:lineRule="atLeast"/>
              <w:rPr>
                <w:rFonts w:ascii="Times New Roman" w:eastAsia="Times New Roman"/>
                <w:kern w:val="0"/>
                <w:szCs w:val="20"/>
                <w:lang w:val="mn-MN"/>
              </w:rPr>
            </w:pPr>
          </w:p>
        </w:tc>
      </w:tr>
    </w:tbl>
    <w:p w:rsidR="00CF1674" w:rsidRPr="00691E10" w:rsidRDefault="00CF1674" w:rsidP="00691E10">
      <w:pPr>
        <w:rPr>
          <w:rFonts w:ascii="Times New Roman"/>
          <w:szCs w:val="20"/>
          <w:lang w:val="mn-MN"/>
        </w:rPr>
      </w:pPr>
    </w:p>
    <w:sectPr w:rsidR="00CF1674" w:rsidRPr="00691E10"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48B" w:rsidRDefault="00DE248B" w:rsidP="007427F5">
      <w:r>
        <w:separator/>
      </w:r>
    </w:p>
  </w:endnote>
  <w:endnote w:type="continuationSeparator" w:id="1">
    <w:p w:rsidR="00DE248B" w:rsidRDefault="00DE248B"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48B" w:rsidRDefault="00DE248B" w:rsidP="007427F5">
      <w:r>
        <w:separator/>
      </w:r>
    </w:p>
  </w:footnote>
  <w:footnote w:type="continuationSeparator" w:id="1">
    <w:p w:rsidR="00DE248B" w:rsidRDefault="00DE248B"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661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7942B66"/>
    <w:multiLevelType w:val="hybridMultilevel"/>
    <w:tmpl w:val="4456015A"/>
    <w:lvl w:ilvl="0" w:tplc="F2E6F9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17F18A0"/>
    <w:multiLevelType w:val="hybridMultilevel"/>
    <w:tmpl w:val="20747544"/>
    <w:lvl w:ilvl="0" w:tplc="A09053D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111EFF"/>
    <w:rsid w:val="00194D23"/>
    <w:rsid w:val="00266851"/>
    <w:rsid w:val="002B7585"/>
    <w:rsid w:val="003171C3"/>
    <w:rsid w:val="00432A02"/>
    <w:rsid w:val="004670D5"/>
    <w:rsid w:val="004D58C4"/>
    <w:rsid w:val="00522608"/>
    <w:rsid w:val="005C37D9"/>
    <w:rsid w:val="00603CAD"/>
    <w:rsid w:val="006117B4"/>
    <w:rsid w:val="00641186"/>
    <w:rsid w:val="0069173F"/>
    <w:rsid w:val="00691E10"/>
    <w:rsid w:val="006C6ED0"/>
    <w:rsid w:val="006E5215"/>
    <w:rsid w:val="006F3512"/>
    <w:rsid w:val="007427F5"/>
    <w:rsid w:val="00744E29"/>
    <w:rsid w:val="00763503"/>
    <w:rsid w:val="0076671A"/>
    <w:rsid w:val="00770595"/>
    <w:rsid w:val="007C2C1E"/>
    <w:rsid w:val="007E2028"/>
    <w:rsid w:val="007F7CE3"/>
    <w:rsid w:val="0080573A"/>
    <w:rsid w:val="00831523"/>
    <w:rsid w:val="008A2841"/>
    <w:rsid w:val="00910A79"/>
    <w:rsid w:val="009912D1"/>
    <w:rsid w:val="00AE1D40"/>
    <w:rsid w:val="00BC0544"/>
    <w:rsid w:val="00BF089E"/>
    <w:rsid w:val="00C36277"/>
    <w:rsid w:val="00C93D3D"/>
    <w:rsid w:val="00CB5926"/>
    <w:rsid w:val="00CB5BAD"/>
    <w:rsid w:val="00CF1674"/>
    <w:rsid w:val="00D52BA3"/>
    <w:rsid w:val="00DC4E85"/>
    <w:rsid w:val="00DE248B"/>
    <w:rsid w:val="00E011C1"/>
    <w:rsid w:val="00E05A7A"/>
    <w:rsid w:val="00E51394"/>
    <w:rsid w:val="00F35CAA"/>
    <w:rsid w:val="00F616BC"/>
    <w:rsid w:val="00F740A3"/>
    <w:rsid w:val="00F947E6"/>
    <w:rsid w:val="00FB3C1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6671A"/>
    <w:pPr>
      <w:ind w:leftChars="400" w:left="800"/>
    </w:pPr>
  </w:style>
  <w:style w:type="table" w:customStyle="1" w:styleId="-11">
    <w:name w:val="옅은 음영 - 강조색 11"/>
    <w:basedOn w:val="a2"/>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0"/>
    <w:link w:val="Char"/>
    <w:uiPriority w:val="99"/>
    <w:semiHidden/>
    <w:unhideWhenUsed/>
    <w:rsid w:val="007427F5"/>
    <w:pPr>
      <w:tabs>
        <w:tab w:val="center" w:pos="4513"/>
        <w:tab w:val="right" w:pos="9026"/>
      </w:tabs>
      <w:snapToGrid w:val="0"/>
    </w:pPr>
  </w:style>
  <w:style w:type="character" w:customStyle="1" w:styleId="Char">
    <w:name w:val="머리글 Char"/>
    <w:basedOn w:val="a1"/>
    <w:link w:val="a5"/>
    <w:uiPriority w:val="99"/>
    <w:semiHidden/>
    <w:rsid w:val="007427F5"/>
    <w:rPr>
      <w:rFonts w:ascii="바탕" w:eastAsia="바탕" w:hAnsi="Times New Roman" w:cs="Times New Roman"/>
      <w:szCs w:val="24"/>
      <w:lang w:bidi="ar-SA"/>
    </w:rPr>
  </w:style>
  <w:style w:type="paragraph" w:styleId="a6">
    <w:name w:val="footer"/>
    <w:basedOn w:val="a0"/>
    <w:link w:val="Char0"/>
    <w:uiPriority w:val="99"/>
    <w:semiHidden/>
    <w:unhideWhenUsed/>
    <w:rsid w:val="007427F5"/>
    <w:pPr>
      <w:tabs>
        <w:tab w:val="center" w:pos="4513"/>
        <w:tab w:val="right" w:pos="9026"/>
      </w:tabs>
      <w:snapToGrid w:val="0"/>
    </w:pPr>
  </w:style>
  <w:style w:type="character" w:customStyle="1" w:styleId="Char0">
    <w:name w:val="바닥글 Char"/>
    <w:basedOn w:val="a1"/>
    <w:link w:val="a6"/>
    <w:uiPriority w:val="99"/>
    <w:semiHidden/>
    <w:rsid w:val="007427F5"/>
    <w:rPr>
      <w:rFonts w:ascii="바탕" w:eastAsia="바탕" w:hAnsi="Times New Roman" w:cs="Times New Roman"/>
      <w:szCs w:val="24"/>
      <w:lang w:bidi="ar-SA"/>
    </w:rPr>
  </w:style>
  <w:style w:type="paragraph" w:styleId="a">
    <w:name w:val="List Bullet"/>
    <w:basedOn w:val="a0"/>
    <w:uiPriority w:val="99"/>
    <w:unhideWhenUsed/>
    <w:rsid w:val="00266851"/>
    <w:pPr>
      <w:numPr>
        <w:numId w:val="2"/>
      </w:numPr>
      <w:contextualSpacing/>
    </w:pPr>
  </w:style>
  <w:style w:type="character" w:styleId="a7">
    <w:name w:val="Hyperlink"/>
    <w:basedOn w:val="a1"/>
    <w:uiPriority w:val="99"/>
    <w:unhideWhenUsed/>
    <w:rsid w:val="00691E10"/>
    <w:rPr>
      <w:color w:val="0000FF"/>
      <w:u w:val="single"/>
    </w:rPr>
  </w:style>
  <w:style w:type="paragraph" w:styleId="a8">
    <w:name w:val="Balloon Text"/>
    <w:basedOn w:val="a0"/>
    <w:link w:val="Char1"/>
    <w:uiPriority w:val="99"/>
    <w:semiHidden/>
    <w:unhideWhenUsed/>
    <w:rsid w:val="00691E10"/>
    <w:rPr>
      <w:rFonts w:asciiTheme="majorHAnsi" w:eastAsiaTheme="majorEastAsia" w:hAnsiTheme="majorHAnsi" w:cstheme="majorBidi"/>
      <w:sz w:val="18"/>
      <w:szCs w:val="18"/>
    </w:rPr>
  </w:style>
  <w:style w:type="character" w:customStyle="1" w:styleId="Char1">
    <w:name w:val="풍선 도움말 텍스트 Char"/>
    <w:basedOn w:val="a1"/>
    <w:link w:val="a8"/>
    <w:uiPriority w:val="99"/>
    <w:semiHidden/>
    <w:rsid w:val="00691E10"/>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user</cp:lastModifiedBy>
  <cp:revision>2</cp:revision>
  <dcterms:created xsi:type="dcterms:W3CDTF">2012-12-09T12:32:00Z</dcterms:created>
  <dcterms:modified xsi:type="dcterms:W3CDTF">2012-12-09T12:32:00Z</dcterms:modified>
</cp:coreProperties>
</file>