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C2" w:rsidRPr="007404C2" w:rsidRDefault="007404C2" w:rsidP="007404C2">
      <w:pPr>
        <w:pStyle w:val="a8"/>
        <w:rPr>
          <w:rFonts w:ascii="Times New Roman" w:eastAsia="나눔고딕" w:hAnsi="Times New Roman" w:cs="Times New Roman"/>
          <w:color w:val="000000"/>
          <w:lang w:val="ru-RU"/>
        </w:rPr>
      </w:pPr>
      <w:r w:rsidRPr="007404C2">
        <w:rPr>
          <w:rFonts w:ascii="Times New Roman" w:hAnsi="Times New Roman" w:cs="Times New Roman"/>
        </w:rPr>
        <w:t>IX -</w:t>
      </w:r>
      <w:r w:rsidRPr="007404C2">
        <w:rPr>
          <w:rFonts w:ascii="Times New Roman" w:hAnsi="Times New Roman" w:cs="Times New Roman"/>
          <w:lang w:val="ru-RU"/>
        </w:rPr>
        <w:t>ая</w:t>
      </w:r>
      <w:r w:rsidRPr="007404C2">
        <w:rPr>
          <w:rFonts w:ascii="Times New Roman" w:hAnsi="Times New Roman" w:cs="Times New Roman"/>
        </w:rPr>
        <w:t xml:space="preserve"> </w:t>
      </w:r>
      <w:r w:rsidRPr="007404C2">
        <w:rPr>
          <w:rFonts w:ascii="Times New Roman" w:hAnsi="Times New Roman" w:cs="Times New Roman"/>
          <w:lang w:val="ru-RU"/>
        </w:rPr>
        <w:t>Генеральная Ассамблея</w:t>
      </w:r>
    </w:p>
    <w:p w:rsidR="007404C2" w:rsidRPr="007404C2" w:rsidRDefault="007404C2" w:rsidP="007404C2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7404C2">
        <w:rPr>
          <w:rFonts w:ascii="Times New Roman" w:eastAsia="나눔고딕"/>
          <w:b/>
          <w:color w:val="000000"/>
          <w:szCs w:val="20"/>
        </w:rPr>
        <w:t xml:space="preserve"> </w:t>
      </w:r>
      <w:r w:rsidRPr="007404C2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87"/>
        <w:gridCol w:w="2619"/>
        <w:gridCol w:w="5510"/>
      </w:tblGrid>
      <w:tr w:rsidR="007404C2" w:rsidRPr="007404C2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7404C2" w:rsidRPr="007404C2" w:rsidRDefault="007404C2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7404C2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7404C2" w:rsidRPr="007404C2" w:rsidRDefault="007404C2" w:rsidP="00EA386D">
            <w:pPr>
              <w:rPr>
                <w:rFonts w:ascii="Times New Roman" w:eastAsia="나눔고딕"/>
                <w:b/>
                <w:bCs/>
                <w:color w:val="000000"/>
                <w:szCs w:val="20"/>
              </w:rPr>
            </w:pPr>
            <w:r w:rsidRPr="007404C2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24 </w:t>
            </w:r>
            <w:r w:rsidRPr="007404C2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илюля</w:t>
            </w:r>
            <w:r w:rsidRPr="007404C2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2012 </w:t>
            </w:r>
            <w:r w:rsidRPr="007404C2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7404C2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. - 27 </w:t>
            </w:r>
            <w:r w:rsidRPr="007404C2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илюля</w:t>
            </w:r>
            <w:r w:rsidRPr="007404C2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2012 </w:t>
            </w:r>
            <w:r w:rsidRPr="007404C2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7404C2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7404C2" w:rsidRPr="007404C2" w:rsidTr="00EA386D">
        <w:trPr>
          <w:trHeight w:val="476"/>
        </w:trPr>
        <w:tc>
          <w:tcPr>
            <w:tcW w:w="1387" w:type="dxa"/>
            <w:shd w:val="clear" w:color="auto" w:fill="C6D9F1"/>
          </w:tcPr>
          <w:p w:rsidR="007404C2" w:rsidRPr="007404C2" w:rsidRDefault="007404C2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7404C2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7404C2" w:rsidRPr="007404C2" w:rsidRDefault="007404C2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7404C2">
              <w:rPr>
                <w:rFonts w:ascii="Times New Roman"/>
                <w:color w:val="000000"/>
                <w:szCs w:val="20"/>
                <w:lang w:val="ru-RU"/>
              </w:rPr>
              <w:t>Китайская Народная Республика &gt; Нинся-Хуэйский автономный район</w:t>
            </w:r>
          </w:p>
        </w:tc>
      </w:tr>
      <w:tr w:rsidR="007404C2" w:rsidRPr="007404C2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7404C2" w:rsidRPr="007404C2" w:rsidRDefault="007404C2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7404C2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7404C2">
              <w:rPr>
                <w:rFonts w:ascii="Times New Roman"/>
                <w:b/>
                <w:bCs/>
                <w:color w:val="000000"/>
                <w:szCs w:val="20"/>
              </w:rPr>
              <w:t>Организатор</w:t>
            </w:r>
          </w:p>
        </w:tc>
        <w:tc>
          <w:tcPr>
            <w:tcW w:w="812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404C2" w:rsidRPr="007404C2" w:rsidRDefault="007404C2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7404C2">
              <w:rPr>
                <w:rFonts w:ascii="Times New Roman"/>
                <w:color w:val="000000"/>
                <w:szCs w:val="20"/>
                <w:lang w:val="ru-RU"/>
              </w:rPr>
              <w:t>Китайская Народная Республика &gt; Нинся-Хуэйский автономный район</w:t>
            </w:r>
          </w:p>
        </w:tc>
      </w:tr>
      <w:tr w:rsidR="007404C2" w:rsidRPr="007404C2" w:rsidTr="00EA386D">
        <w:trPr>
          <w:trHeight w:val="298"/>
        </w:trPr>
        <w:tc>
          <w:tcPr>
            <w:tcW w:w="1387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7404C2" w:rsidRPr="007404C2" w:rsidRDefault="007404C2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7404C2">
              <w:rPr>
                <w:rFonts w:ascii="Times New Roman"/>
                <w:b/>
                <w:bCs/>
                <w:color w:val="000000"/>
                <w:szCs w:val="20"/>
              </w:rPr>
              <w:t>Участники</w:t>
            </w:r>
          </w:p>
        </w:tc>
        <w:tc>
          <w:tcPr>
            <w:tcW w:w="8129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7404C2" w:rsidRPr="007404C2" w:rsidRDefault="007404C2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7404C2">
              <w:rPr>
                <w:rFonts w:ascii="Times New Roman"/>
                <w:color w:val="000000"/>
                <w:szCs w:val="20"/>
                <w:lang w:val="ru-RU"/>
              </w:rPr>
              <w:t>Представители 37 местных органов самоуправления из 5 стран</w:t>
            </w:r>
          </w:p>
        </w:tc>
      </w:tr>
      <w:tr w:rsidR="007404C2" w:rsidRPr="007404C2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7404C2" w:rsidRPr="007404C2" w:rsidRDefault="007404C2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</w:tcBorders>
            <w:shd w:val="clear" w:color="auto" w:fill="auto"/>
          </w:tcPr>
          <w:p w:rsidR="007404C2" w:rsidRPr="007404C2" w:rsidRDefault="007404C2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7404C2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7404C2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510" w:type="dxa"/>
            <w:shd w:val="clear" w:color="auto" w:fill="auto"/>
          </w:tcPr>
          <w:p w:rsidR="007404C2" w:rsidRPr="007404C2" w:rsidRDefault="007404C2" w:rsidP="00EA386D">
            <w:pPr>
              <w:wordWrap/>
              <w:adjustRightInd w:val="0"/>
              <w:jc w:val="left"/>
              <w:rPr>
                <w:rFonts w:ascii="Times New Roman" w:eastAsia="맑은 고딕"/>
                <w:kern w:val="0"/>
                <w:szCs w:val="20"/>
                <w:lang w:val="ru-RU"/>
              </w:rPr>
            </w:pPr>
            <w:r w:rsidRPr="007404C2">
              <w:rPr>
                <w:rFonts w:ascii="Times New Roman"/>
                <w:color w:val="000000"/>
                <w:szCs w:val="20"/>
                <w:lang w:val="ru-RU"/>
              </w:rPr>
              <w:t xml:space="preserve">Провинция Хейлунцзян, Провинция Шаньдун, </w:t>
            </w:r>
            <w:r w:rsidRPr="007404C2">
              <w:rPr>
                <w:rFonts w:ascii="Times New Roman" w:eastAsia="맑은 고딕"/>
                <w:kern w:val="0"/>
                <w:szCs w:val="20"/>
                <w:lang w:val="ru-RU"/>
              </w:rPr>
              <w:t xml:space="preserve">Провинция Хэнань, </w:t>
            </w:r>
            <w:r w:rsidRPr="007404C2">
              <w:rPr>
                <w:rFonts w:ascii="Times New Roman"/>
                <w:color w:val="000000"/>
                <w:szCs w:val="20"/>
                <w:lang w:val="ru-RU"/>
              </w:rPr>
              <w:t xml:space="preserve">Нинся-Хуэйский автономный район, </w:t>
            </w:r>
            <w:r w:rsidRPr="007404C2">
              <w:rPr>
                <w:rFonts w:ascii="Times New Roman" w:eastAsia="맑은 고딕"/>
                <w:kern w:val="0"/>
                <w:szCs w:val="20"/>
                <w:lang w:val="ru-RU"/>
              </w:rPr>
              <w:t>Провинция Хубэй, Провинция Хунан</w:t>
            </w:r>
          </w:p>
          <w:p w:rsidR="007404C2" w:rsidRPr="007404C2" w:rsidRDefault="007404C2" w:rsidP="00EA386D">
            <w:pPr>
              <w:wordWrap/>
              <w:adjustRightInd w:val="0"/>
              <w:jc w:val="left"/>
              <w:rPr>
                <w:rFonts w:ascii="Times New Roman" w:eastAsia="맑은 고딕"/>
                <w:kern w:val="0"/>
                <w:szCs w:val="20"/>
                <w:lang w:val="ru-RU"/>
              </w:rPr>
            </w:pPr>
            <w:r w:rsidRPr="007404C2">
              <w:rPr>
                <w:rFonts w:ascii="Times New Roman" w:eastAsia="맑은 고딕"/>
                <w:kern w:val="0"/>
                <w:szCs w:val="20"/>
                <w:lang w:val="ru-RU"/>
              </w:rPr>
              <w:t xml:space="preserve">Провинция Шанси (shanxi) (наблюдатель), Провинция Санси (наблюдатель), г. Тяньцзинь (наблюдатель), </w:t>
            </w:r>
          </w:p>
          <w:p w:rsidR="007404C2" w:rsidRPr="007404C2" w:rsidRDefault="007404C2" w:rsidP="00EA386D">
            <w:pPr>
              <w:wordWrap/>
              <w:adjustRightInd w:val="0"/>
              <w:jc w:val="left"/>
              <w:rPr>
                <w:rFonts w:ascii="Times New Roman" w:eastAsia="맑은 고딕"/>
                <w:kern w:val="0"/>
                <w:szCs w:val="20"/>
                <w:lang w:val="ru-RU"/>
              </w:rPr>
            </w:pPr>
            <w:r w:rsidRPr="007404C2">
              <w:rPr>
                <w:rFonts w:ascii="Times New Roman" w:eastAsia="맑은 고딕"/>
                <w:kern w:val="0"/>
                <w:szCs w:val="20"/>
                <w:lang w:val="ru-RU"/>
              </w:rPr>
              <w:t>Провинция Цзилинь (не член), Провинция Цинхай (не член)</w:t>
            </w:r>
          </w:p>
        </w:tc>
      </w:tr>
      <w:tr w:rsidR="007404C2" w:rsidRPr="007404C2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7404C2" w:rsidRPr="007404C2" w:rsidRDefault="007404C2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404C2" w:rsidRPr="007404C2" w:rsidRDefault="007404C2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7404C2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7404C2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7404C2" w:rsidRPr="007404C2" w:rsidRDefault="007404C2" w:rsidP="00EA386D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7404C2">
              <w:rPr>
                <w:rFonts w:ascii="Times New Roman"/>
                <w:color w:val="000000"/>
                <w:szCs w:val="20"/>
                <w:lang w:val="ru-RU"/>
              </w:rPr>
              <w:t>Префектура Ямагата, Префектура Ниигата, Префектура Тояма, Префектура Киото, Префектура Хёго, Префектура Симанэ</w:t>
            </w:r>
          </w:p>
        </w:tc>
      </w:tr>
      <w:tr w:rsidR="007404C2" w:rsidRPr="007404C2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7404C2" w:rsidRPr="007404C2" w:rsidRDefault="007404C2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</w:tcBorders>
            <w:shd w:val="clear" w:color="auto" w:fill="auto"/>
          </w:tcPr>
          <w:p w:rsidR="007404C2" w:rsidRPr="007404C2" w:rsidRDefault="007404C2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7404C2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7404C2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510" w:type="dxa"/>
            <w:tcBorders>
              <w:bottom w:val="dotted" w:sz="4" w:space="0" w:color="auto"/>
            </w:tcBorders>
            <w:shd w:val="clear" w:color="auto" w:fill="auto"/>
          </w:tcPr>
          <w:p w:rsidR="007404C2" w:rsidRPr="007404C2" w:rsidRDefault="007404C2" w:rsidP="00EA386D">
            <w:pPr>
              <w:ind w:left="100" w:hangingChars="50" w:hanging="100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7404C2">
              <w:rPr>
                <w:rFonts w:ascii="Times New Roman"/>
                <w:color w:val="000000"/>
                <w:szCs w:val="20"/>
                <w:lang w:val="ru-RU"/>
              </w:rPr>
              <w:t>Город Пусан, Город Тэгу, Город Тэджон, Город Ульсан, Провинция Кёнги-до, Провинция Чхунчхонбук-до, Провинция Чхунчхоннам-до, Провинция Чолланам-до, Провинция Кёнсанбук-до, Провинция Кёнсаннам-до, Провинция Чеджу</w:t>
            </w:r>
          </w:p>
        </w:tc>
      </w:tr>
      <w:tr w:rsidR="007404C2" w:rsidRPr="007404C2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7404C2" w:rsidRPr="007404C2" w:rsidRDefault="007404C2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7404C2" w:rsidRPr="007404C2" w:rsidRDefault="007404C2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7404C2">
              <w:rPr>
                <w:rFonts w:ascii="Times New Roman" w:eastAsia="나눔고딕"/>
                <w:color w:val="000000"/>
                <w:szCs w:val="20"/>
                <w:lang w:val="ru-RU"/>
              </w:rPr>
              <w:t>Монголия</w:t>
            </w:r>
          </w:p>
        </w:tc>
        <w:tc>
          <w:tcPr>
            <w:tcW w:w="55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404C2" w:rsidRPr="007404C2" w:rsidRDefault="007404C2" w:rsidP="00EA386D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7404C2">
              <w:rPr>
                <w:rFonts w:ascii="Times New Roman"/>
                <w:color w:val="000000"/>
                <w:szCs w:val="20"/>
                <w:lang w:val="ru-RU"/>
              </w:rPr>
              <w:t xml:space="preserve">Хэнтий аймак, Булган аймак, Уверхангай аймак, Баянхонгор аймак, Хувсгел аймак, Баян-Улгий аймак, Орхон аймак </w:t>
            </w:r>
          </w:p>
        </w:tc>
      </w:tr>
      <w:tr w:rsidR="007404C2" w:rsidRPr="007404C2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7404C2" w:rsidRPr="007404C2" w:rsidRDefault="007404C2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404C2" w:rsidRPr="007404C2" w:rsidRDefault="007404C2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7404C2">
              <w:rPr>
                <w:rFonts w:ascii="Times New Roman"/>
                <w:color w:val="00000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5510" w:type="dxa"/>
            <w:tcBorders>
              <w:left w:val="dotted" w:sz="4" w:space="0" w:color="auto"/>
            </w:tcBorders>
            <w:shd w:val="clear" w:color="auto" w:fill="auto"/>
          </w:tcPr>
          <w:p w:rsidR="007404C2" w:rsidRPr="007404C2" w:rsidRDefault="007404C2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7404C2">
              <w:rPr>
                <w:rFonts w:ascii="Times New Roman"/>
                <w:color w:val="000000"/>
                <w:szCs w:val="20"/>
                <w:lang w:val="ru-RU"/>
              </w:rPr>
              <w:t>Хабаровский край, Забайкалский край</w:t>
            </w:r>
          </w:p>
        </w:tc>
      </w:tr>
      <w:tr w:rsidR="007404C2" w:rsidRPr="007404C2" w:rsidTr="00EA386D">
        <w:trPr>
          <w:trHeight w:val="298"/>
        </w:trPr>
        <w:tc>
          <w:tcPr>
            <w:tcW w:w="1387" w:type="dxa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7404C2" w:rsidRPr="007404C2" w:rsidRDefault="007404C2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404C2" w:rsidRPr="007404C2" w:rsidRDefault="007404C2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7404C2">
              <w:rPr>
                <w:rFonts w:ascii="Times New Roman" w:eastAsia="나눔고딕"/>
                <w:color w:val="000000"/>
                <w:szCs w:val="20"/>
                <w:lang w:val="ru-RU"/>
              </w:rPr>
              <w:t>*другие участвуюшие учереждения</w:t>
            </w:r>
          </w:p>
        </w:tc>
        <w:tc>
          <w:tcPr>
            <w:tcW w:w="5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7404C2" w:rsidRPr="007404C2" w:rsidRDefault="007404C2" w:rsidP="00EA386D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7404C2">
              <w:rPr>
                <w:rFonts w:ascii="Times New Roman"/>
                <w:color w:val="000000"/>
                <w:szCs w:val="20"/>
                <w:lang w:val="ru-RU"/>
              </w:rPr>
              <w:t xml:space="preserve">МИД Кореи, Российский торговый представитель в Корее, </w:t>
            </w:r>
            <w:r w:rsidRPr="007404C2">
              <w:rPr>
                <w:rStyle w:val="hps"/>
                <w:rFonts w:ascii="Times New Roman"/>
                <w:szCs w:val="20"/>
                <w:lang w:val="ru-RU"/>
              </w:rPr>
              <w:t>Союз предпринимателей СВА, Ассоциация внешней связи Китая, Посольство КНДР в Китае, Университет Васеда Японии, Корейское посольство в Китае, Генеральное консульство Кореи в Сиане, Ассоциация представителей провинций и городов Кореи, Институт по исследованию Азии университета Кёнбук</w:t>
            </w:r>
          </w:p>
        </w:tc>
      </w:tr>
    </w:tbl>
    <w:p w:rsidR="007404C2" w:rsidRPr="007404C2" w:rsidRDefault="007404C2" w:rsidP="007404C2">
      <w:pPr>
        <w:rPr>
          <w:rFonts w:ascii="Times New Roman" w:eastAsia="나눔고딕"/>
          <w:szCs w:val="20"/>
          <w:lang w:val="ru-RU"/>
        </w:rPr>
      </w:pPr>
    </w:p>
    <w:p w:rsidR="007404C2" w:rsidRPr="007404C2" w:rsidRDefault="007404C2" w:rsidP="007404C2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  <w:lang w:val="ru-RU"/>
        </w:rPr>
      </w:pPr>
      <w:r w:rsidRPr="007404C2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7404C2">
        <w:rPr>
          <w:rFonts w:ascii="Times New Roman"/>
          <w:b/>
          <w:bCs/>
          <w:color w:val="000000"/>
          <w:szCs w:val="20"/>
          <w:lang w:val="ru-RU"/>
        </w:rPr>
        <w:t>Повестка дня</w:t>
      </w:r>
    </w:p>
    <w:p w:rsidR="007404C2" w:rsidRPr="007404C2" w:rsidRDefault="007404C2" w:rsidP="007404C2">
      <w:pPr>
        <w:widowControl/>
        <w:wordWrap/>
        <w:autoSpaceDE/>
        <w:autoSpaceDN/>
        <w:spacing w:line="160" w:lineRule="atLeast"/>
        <w:rPr>
          <w:rFonts w:ascii="Times New Roman" w:eastAsia="굴림"/>
          <w:color w:val="000000"/>
          <w:kern w:val="0"/>
          <w:szCs w:val="20"/>
          <w:lang w:val="ru-RU"/>
        </w:rPr>
      </w:pPr>
      <w:r w:rsidRPr="007404C2">
        <w:rPr>
          <w:rFonts w:ascii="Times New Roman" w:eastAsia="굴림"/>
          <w:color w:val="000000"/>
          <w:kern w:val="0"/>
          <w:szCs w:val="20"/>
          <w:lang w:val="ru-RU"/>
        </w:rPr>
        <w:t>►Официальная заявка на проведение 10-й Генеральной Ассамблеи (Чолланам-до)</w:t>
      </w:r>
    </w:p>
    <w:p w:rsidR="007404C2" w:rsidRPr="007404C2" w:rsidRDefault="007404C2" w:rsidP="007404C2">
      <w:pPr>
        <w:widowControl/>
        <w:wordWrap/>
        <w:autoSpaceDE/>
        <w:autoSpaceDN/>
        <w:spacing w:line="160" w:lineRule="atLeast"/>
        <w:rPr>
          <w:rFonts w:ascii="Times New Roman" w:eastAsia="굴림"/>
          <w:color w:val="000000"/>
          <w:kern w:val="0"/>
          <w:szCs w:val="20"/>
          <w:lang w:val="ru-RU"/>
        </w:rPr>
      </w:pPr>
      <w:r w:rsidRPr="007404C2">
        <w:rPr>
          <w:rFonts w:ascii="Times New Roman" w:eastAsia="굴림"/>
          <w:color w:val="000000"/>
          <w:kern w:val="0"/>
          <w:szCs w:val="20"/>
          <w:lang w:val="ru-RU"/>
        </w:rPr>
        <w:t>►Предложение по продлению срока работы Секретатиата АРАССВА на постоянной основе (Кёнсанбук-до)</w:t>
      </w:r>
    </w:p>
    <w:p w:rsidR="007404C2" w:rsidRPr="007404C2" w:rsidRDefault="007404C2" w:rsidP="007404C2">
      <w:pPr>
        <w:widowControl/>
        <w:wordWrap/>
        <w:autoSpaceDE/>
        <w:autoSpaceDN/>
        <w:spacing w:line="160" w:lineRule="atLeast"/>
        <w:rPr>
          <w:rFonts w:ascii="Times New Roman" w:eastAsia="굴림"/>
          <w:color w:val="000000"/>
          <w:kern w:val="0"/>
          <w:szCs w:val="20"/>
          <w:lang w:val="ru-RU"/>
        </w:rPr>
      </w:pPr>
      <w:r w:rsidRPr="007404C2">
        <w:rPr>
          <w:rFonts w:ascii="Times New Roman" w:eastAsia="굴림"/>
          <w:color w:val="000000"/>
          <w:kern w:val="0"/>
          <w:szCs w:val="20"/>
          <w:lang w:val="ru-RU"/>
        </w:rPr>
        <w:t>►Вступление нового региона АРАССВА (Секретариат)</w:t>
      </w:r>
    </w:p>
    <w:p w:rsidR="007404C2" w:rsidRPr="007404C2" w:rsidRDefault="007404C2" w:rsidP="007404C2">
      <w:pPr>
        <w:widowControl/>
        <w:wordWrap/>
        <w:autoSpaceDE/>
        <w:autoSpaceDN/>
        <w:spacing w:line="160" w:lineRule="atLeast"/>
        <w:rPr>
          <w:rFonts w:ascii="Times New Roman" w:eastAsia="굴림"/>
          <w:color w:val="000000"/>
          <w:kern w:val="0"/>
          <w:szCs w:val="20"/>
          <w:lang w:val="ru-RU"/>
        </w:rPr>
      </w:pPr>
      <w:r w:rsidRPr="007404C2">
        <w:rPr>
          <w:rFonts w:ascii="Times New Roman" w:eastAsia="굴림"/>
          <w:color w:val="000000"/>
          <w:kern w:val="0"/>
          <w:szCs w:val="20"/>
          <w:lang w:val="ru-RU"/>
        </w:rPr>
        <w:t>► «Стажировка за рубежом» - программа для молодёжи в рамках АРАССВА (Секретариат)</w:t>
      </w:r>
    </w:p>
    <w:p w:rsidR="007404C2" w:rsidRPr="007404C2" w:rsidRDefault="007404C2" w:rsidP="007404C2">
      <w:pPr>
        <w:widowControl/>
        <w:wordWrap/>
        <w:autoSpaceDE/>
        <w:autoSpaceDN/>
        <w:spacing w:line="160" w:lineRule="atLeast"/>
        <w:rPr>
          <w:rFonts w:ascii="Times New Roman" w:eastAsia="굴림"/>
          <w:color w:val="000000"/>
          <w:kern w:val="0"/>
          <w:szCs w:val="20"/>
          <w:lang w:val="ru-RU"/>
        </w:rPr>
      </w:pPr>
      <w:r w:rsidRPr="007404C2">
        <w:rPr>
          <w:rFonts w:ascii="Times New Roman" w:eastAsia="굴림"/>
          <w:color w:val="000000"/>
          <w:kern w:val="0"/>
          <w:szCs w:val="20"/>
          <w:lang w:val="ru-RU"/>
        </w:rPr>
        <w:t>►Введение системы членских взносов АРАССВА (Секретариат)</w:t>
      </w:r>
    </w:p>
    <w:p w:rsidR="007404C2" w:rsidRPr="007404C2" w:rsidRDefault="007404C2" w:rsidP="007404C2">
      <w:pPr>
        <w:widowControl/>
        <w:wordWrap/>
        <w:autoSpaceDE/>
        <w:autoSpaceDN/>
        <w:spacing w:line="160" w:lineRule="atLeast"/>
        <w:rPr>
          <w:rFonts w:ascii="Times New Roman" w:eastAsia="굴림"/>
          <w:color w:val="000000"/>
          <w:kern w:val="0"/>
          <w:szCs w:val="20"/>
          <w:lang w:val="ru-RU"/>
        </w:rPr>
      </w:pPr>
    </w:p>
    <w:p w:rsidR="007404C2" w:rsidRPr="007404C2" w:rsidRDefault="007404C2" w:rsidP="007404C2">
      <w:pPr>
        <w:widowControl/>
        <w:wordWrap/>
        <w:autoSpaceDE/>
        <w:autoSpaceDN/>
        <w:spacing w:line="160" w:lineRule="atLeast"/>
        <w:rPr>
          <w:rFonts w:ascii="Times New Roman"/>
          <w:b/>
          <w:bCs/>
          <w:lang w:val="ru-RU"/>
        </w:rPr>
      </w:pPr>
      <w:r w:rsidRPr="007404C2">
        <w:rPr>
          <w:rFonts w:ascii="Times New Roman" w:eastAsia="굴림"/>
          <w:color w:val="000000"/>
          <w:kern w:val="0"/>
          <w:szCs w:val="20"/>
          <w:lang w:val="ru-RU"/>
        </w:rPr>
        <w:t xml:space="preserve">■ </w:t>
      </w:r>
      <w:r w:rsidRPr="007404C2">
        <w:rPr>
          <w:rFonts w:ascii="Times New Roman"/>
          <w:b/>
          <w:bCs/>
          <w:lang w:val="ru-RU"/>
        </w:rPr>
        <w:t>Декларация Нинся</w:t>
      </w: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eastAsia="SimSun" w:hAnsi="Times New Roman"/>
          <w:sz w:val="20"/>
          <w:szCs w:val="20"/>
          <w:lang w:val="ru-RU" w:eastAsia="zh-CN"/>
        </w:rPr>
        <w:t>В</w:t>
      </w:r>
      <w:r w:rsidRPr="007404C2">
        <w:rPr>
          <w:rFonts w:ascii="Times New Roman" w:hAnsi="Times New Roman"/>
          <w:sz w:val="20"/>
          <w:szCs w:val="20"/>
          <w:lang w:val="ru-RU"/>
        </w:rPr>
        <w:t xml:space="preserve"> городе Иньчуань Нинся-Хуэйского автономного района КНР с 24 по 27 июля 2012 г. проведена 9-я Генеральная ассамблея АРАССВА.</w:t>
      </w: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 xml:space="preserve">В мероприятии приняли участие как представители регионов-членов из Китая, Японии, Кореи, Монголии и России, послы и консулы из КНДР и Кореи, так и представители регионов-наблюдетелей, не являющиеся членами Ассоциации. </w:t>
      </w: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 xml:space="preserve">Участники от регионов-членов представили доклады и провели обсуждение на тему «Укрепление </w:t>
      </w:r>
      <w:r w:rsidRPr="007404C2">
        <w:rPr>
          <w:rFonts w:ascii="Times New Roman" w:hAnsi="Times New Roman"/>
          <w:sz w:val="20"/>
          <w:szCs w:val="20"/>
          <w:lang w:val="ru-RU"/>
        </w:rPr>
        <w:lastRenderedPageBreak/>
        <w:t>межрегионального сотрудничества с целью развития  СВА». Выступления участников помогли понять, что единение и идеология совместного процветания играют важную роль в межрегиональном сотрудничестве и развитии.</w:t>
      </w: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>Благодаря обменам и сотрудничеству между регионами-членами, в период глобализации и интеграции регионов осуществляется совместное процветание, что является исторической миссией.</w:t>
      </w: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>Через проведение обменов и сотрудничества в областях экономики, экологии, культуры, предотвращения стихийных бедствий, научных технологий, вопроса женщин и детей, образования и др., АРАССВА получила плодотворные результаты, и намерена в будущем развивать регион СВА на основе взаимного доверия и взаимной выгоды, процветания и гармонии, с активной помощью регионов-членов.</w:t>
      </w: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>Проведя 9-й Генеральную ассамблею, единогласно была принята «Резолюция Нинся» с взаимным видением развития региона.</w:t>
      </w: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b/>
          <w:bCs/>
          <w:sz w:val="20"/>
          <w:szCs w:val="20"/>
          <w:lang w:val="ru-RU"/>
        </w:rPr>
        <w:t xml:space="preserve">Укреплять конкретное сотрудничество Ассоциации: </w:t>
      </w:r>
      <w:r w:rsidRPr="007404C2">
        <w:rPr>
          <w:rFonts w:ascii="Times New Roman" w:hAnsi="Times New Roman"/>
          <w:sz w:val="20"/>
          <w:szCs w:val="20"/>
          <w:lang w:val="ru-RU"/>
        </w:rPr>
        <w:t>выполнять еще большую роль для продвижения мира и процветания региона</w:t>
      </w:r>
      <w:r w:rsidRPr="007404C2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7404C2">
        <w:rPr>
          <w:rFonts w:ascii="Times New Roman" w:hAnsi="Times New Roman"/>
          <w:sz w:val="20"/>
          <w:szCs w:val="20"/>
          <w:lang w:val="ru-RU"/>
        </w:rPr>
        <w:t>с помощью</w:t>
      </w:r>
      <w:r w:rsidRPr="007404C2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7404C2">
        <w:rPr>
          <w:rFonts w:ascii="Times New Roman" w:hAnsi="Times New Roman"/>
          <w:sz w:val="20"/>
          <w:szCs w:val="20"/>
          <w:lang w:val="ru-RU"/>
        </w:rPr>
        <w:t>влияния и привлекательности укрепленной Ассоциации.</w:t>
      </w:r>
    </w:p>
    <w:p w:rsidR="007404C2" w:rsidRPr="007404C2" w:rsidRDefault="007404C2" w:rsidP="007404C2">
      <w:pPr>
        <w:pStyle w:val="s0"/>
        <w:spacing w:line="360" w:lineRule="auto"/>
        <w:ind w:firstLine="225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b/>
          <w:bCs/>
          <w:sz w:val="20"/>
          <w:szCs w:val="20"/>
          <w:lang w:val="ru-RU"/>
        </w:rPr>
        <w:t xml:space="preserve">Активное участие регионов-членов: </w:t>
      </w:r>
      <w:r w:rsidRPr="007404C2">
        <w:rPr>
          <w:rFonts w:ascii="Times New Roman" w:hAnsi="Times New Roman"/>
          <w:sz w:val="20"/>
          <w:szCs w:val="20"/>
          <w:lang w:val="ru-RU"/>
        </w:rPr>
        <w:t>прилагать усилия</w:t>
      </w:r>
      <w:r w:rsidRPr="007404C2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7404C2">
        <w:rPr>
          <w:rFonts w:ascii="Times New Roman" w:hAnsi="Times New Roman"/>
          <w:sz w:val="20"/>
          <w:szCs w:val="20"/>
          <w:lang w:val="ru-RU"/>
        </w:rPr>
        <w:t>для строительства более открытой Северо-Восточной Азии, приглашая для активного участия не только регионы-члены, но и не членов Ассоциации.</w:t>
      </w:r>
    </w:p>
    <w:p w:rsidR="007404C2" w:rsidRPr="007404C2" w:rsidRDefault="007404C2" w:rsidP="007404C2">
      <w:pPr>
        <w:pStyle w:val="s0"/>
        <w:spacing w:line="360" w:lineRule="auto"/>
        <w:ind w:firstLine="22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7404C2">
        <w:rPr>
          <w:rFonts w:ascii="Times New Roman" w:hAnsi="Times New Roman"/>
          <w:b/>
          <w:bCs/>
          <w:sz w:val="20"/>
          <w:szCs w:val="20"/>
          <w:lang w:val="ru-RU"/>
        </w:rPr>
        <w:t xml:space="preserve">Добиваться сотрудничества и процветания с помощью взаимодействия достойнств региона: </w:t>
      </w:r>
      <w:r w:rsidRPr="007404C2">
        <w:rPr>
          <w:rFonts w:ascii="Times New Roman" w:hAnsi="Times New Roman"/>
          <w:sz w:val="20"/>
          <w:szCs w:val="20"/>
          <w:lang w:val="ru-RU"/>
        </w:rPr>
        <w:t>способствовать постоянному процветанию и развитию регионов-членов, благодаря активному устроиству экономических зон в новой декаде 2010 г. в областях зеленой экономики, экономии энергии, сохранения окружающей среды, изменения климата, предотвращения опустынивания, решения вопроса по трудоустройству и др.</w:t>
      </w:r>
    </w:p>
    <w:p w:rsidR="007404C2" w:rsidRPr="007404C2" w:rsidRDefault="007404C2" w:rsidP="007404C2">
      <w:pPr>
        <w:pStyle w:val="s0"/>
        <w:spacing w:line="360" w:lineRule="auto"/>
        <w:ind w:firstLine="225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>Понимая, что взаимодоверие и взаимосодействие, сотрудничество регионов-членов, на основе исторических принципов, вносят вклад в развитие в сфере совместного процветания, все регионы-члены АРАССВА поддерживают дух «Декларации Нинся» для крепкого сотрудничества между регионами-членами.</w:t>
      </w: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 xml:space="preserve">25 июля 2012 г.  </w:t>
      </w: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>Город Иньчуань, Нинся-Хэйский автономный район, КНР</w:t>
      </w: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>Приложение: платформа проведения «резолюции Нинся»</w:t>
      </w: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404C2" w:rsidRPr="007404C2" w:rsidRDefault="007404C2" w:rsidP="007404C2">
      <w:pPr>
        <w:pStyle w:val="a8"/>
        <w:rPr>
          <w:lang w:val="ru-RU"/>
        </w:rPr>
      </w:pPr>
      <w:r w:rsidRPr="007404C2">
        <w:rPr>
          <w:lang w:val="ru-RU"/>
        </w:rPr>
        <w:t>&lt;Платформа поведения&gt;</w:t>
      </w: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 xml:space="preserve">Опубликовываем «Платформу поведения», чтобы осуществлять дух декларации Нинся после 9-й </w:t>
      </w:r>
      <w:r w:rsidRPr="007404C2">
        <w:rPr>
          <w:rFonts w:ascii="Times New Roman" w:hAnsi="Times New Roman"/>
          <w:sz w:val="20"/>
          <w:szCs w:val="20"/>
          <w:lang w:val="ru-RU"/>
        </w:rPr>
        <w:lastRenderedPageBreak/>
        <w:t>Генеральной ассамблеи АРАССВА.</w:t>
      </w:r>
    </w:p>
    <w:p w:rsidR="007404C2" w:rsidRPr="007404C2" w:rsidRDefault="007404C2" w:rsidP="007404C2">
      <w:pPr>
        <w:pStyle w:val="s0"/>
        <w:spacing w:line="360" w:lineRule="auto"/>
        <w:ind w:firstLine="225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>1. Принято решение о проведении 10-й Генеральной ассамблеи в провинции Чолланам-до в 2014 г.</w:t>
      </w:r>
    </w:p>
    <w:p w:rsidR="007404C2" w:rsidRPr="007404C2" w:rsidRDefault="007404C2" w:rsidP="007404C2">
      <w:pPr>
        <w:pStyle w:val="s0"/>
        <w:spacing w:line="360" w:lineRule="auto"/>
        <w:ind w:firstLine="225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404C2" w:rsidRPr="007404C2" w:rsidRDefault="007404C2" w:rsidP="007404C2">
      <w:pPr>
        <w:pStyle w:val="s0"/>
        <w:spacing w:line="360" w:lineRule="auto"/>
        <w:ind w:firstLine="225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>2. Принято решение по вопросу предления срока работы Секретариата АРАССВА на постоянной основе. Постоянный секретариат помогает общению между организациями, а также помогает развитию сотрудничества между регионами-членами.</w:t>
      </w:r>
    </w:p>
    <w:p w:rsidR="007404C2" w:rsidRPr="007404C2" w:rsidRDefault="007404C2" w:rsidP="007404C2">
      <w:pPr>
        <w:pStyle w:val="s0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404C2" w:rsidRPr="007404C2" w:rsidRDefault="007404C2" w:rsidP="007404C2">
      <w:pPr>
        <w:pStyle w:val="s0"/>
        <w:spacing w:line="360" w:lineRule="auto"/>
        <w:ind w:firstLine="225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>3. Принято решение о вступлении в АРАССВА специального муниципалитета Сэ Джонг. Мы согласны с тем, что укрепление сотрудничества между странами регионов-членов и расширение членства являются процессами развития Ассоциации.</w:t>
      </w:r>
    </w:p>
    <w:p w:rsidR="007404C2" w:rsidRPr="007404C2" w:rsidRDefault="007404C2" w:rsidP="007404C2">
      <w:pPr>
        <w:pStyle w:val="s0"/>
        <w:spacing w:line="360" w:lineRule="auto"/>
        <w:ind w:firstLine="225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>4.  Принято решение по проведению программы «Стажировки за рубежом»  для молодёжи в рамках АРАССВА. Укрепление гуманитарного сотрудничества через проведение программы «Стажировки за рубежом» для развития сотрудничества между регионами-членами.</w:t>
      </w: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7404C2" w:rsidRPr="007404C2" w:rsidRDefault="007404C2" w:rsidP="007404C2">
      <w:pPr>
        <w:pStyle w:val="s0"/>
        <w:spacing w:line="360" w:lineRule="auto"/>
        <w:ind w:firstLine="240"/>
        <w:jc w:val="both"/>
        <w:rPr>
          <w:rFonts w:ascii="Times New Roman" w:hAnsi="Times New Roman"/>
          <w:sz w:val="20"/>
          <w:szCs w:val="20"/>
          <w:lang w:val="ru-RU"/>
        </w:rPr>
      </w:pPr>
      <w:r w:rsidRPr="007404C2">
        <w:rPr>
          <w:rFonts w:ascii="Times New Roman" w:hAnsi="Times New Roman"/>
          <w:sz w:val="20"/>
          <w:szCs w:val="20"/>
          <w:lang w:val="ru-RU"/>
        </w:rPr>
        <w:t xml:space="preserve">5. Принято отрицательное решение о введении системы специальных членских взносов, предложенной Секретариатом. </w:t>
      </w:r>
    </w:p>
    <w:p w:rsidR="009271E1" w:rsidRPr="007404C2" w:rsidRDefault="009271E1" w:rsidP="007404C2">
      <w:pPr>
        <w:rPr>
          <w:rFonts w:ascii="Times New Roman"/>
          <w:szCs w:val="20"/>
          <w:lang w:val="ru-RU"/>
        </w:rPr>
      </w:pPr>
    </w:p>
    <w:sectPr w:rsidR="009271E1" w:rsidRPr="007404C2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7A" w:rsidRDefault="0009597A" w:rsidP="00DF0836">
      <w:r>
        <w:separator/>
      </w:r>
    </w:p>
  </w:endnote>
  <w:endnote w:type="continuationSeparator" w:id="1">
    <w:p w:rsidR="0009597A" w:rsidRDefault="0009597A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7A" w:rsidRDefault="0009597A" w:rsidP="00DF0836">
      <w:r>
        <w:separator/>
      </w:r>
    </w:p>
  </w:footnote>
  <w:footnote w:type="continuationSeparator" w:id="1">
    <w:p w:rsidR="0009597A" w:rsidRDefault="0009597A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7592"/>
    <w:rsid w:val="00021B83"/>
    <w:rsid w:val="000767A9"/>
    <w:rsid w:val="0009597A"/>
    <w:rsid w:val="000D7BD3"/>
    <w:rsid w:val="001179A2"/>
    <w:rsid w:val="001329C7"/>
    <w:rsid w:val="0014740E"/>
    <w:rsid w:val="00305686"/>
    <w:rsid w:val="00371EC2"/>
    <w:rsid w:val="00377877"/>
    <w:rsid w:val="00386E35"/>
    <w:rsid w:val="003A515B"/>
    <w:rsid w:val="003D3F18"/>
    <w:rsid w:val="00461506"/>
    <w:rsid w:val="00610855"/>
    <w:rsid w:val="006632C7"/>
    <w:rsid w:val="00664004"/>
    <w:rsid w:val="006F49BD"/>
    <w:rsid w:val="007404C2"/>
    <w:rsid w:val="0076671A"/>
    <w:rsid w:val="007F3AFA"/>
    <w:rsid w:val="007F7CE3"/>
    <w:rsid w:val="00805528"/>
    <w:rsid w:val="008E2460"/>
    <w:rsid w:val="008F7184"/>
    <w:rsid w:val="009163A8"/>
    <w:rsid w:val="009271E1"/>
    <w:rsid w:val="009337B0"/>
    <w:rsid w:val="009B05FA"/>
    <w:rsid w:val="00A713B8"/>
    <w:rsid w:val="00BC181B"/>
    <w:rsid w:val="00C311C7"/>
    <w:rsid w:val="00C36528"/>
    <w:rsid w:val="00C90E4E"/>
    <w:rsid w:val="00D34CD9"/>
    <w:rsid w:val="00DD7D72"/>
    <w:rsid w:val="00DF0836"/>
    <w:rsid w:val="00E8489E"/>
    <w:rsid w:val="00EC5C86"/>
    <w:rsid w:val="00EF228E"/>
    <w:rsid w:val="00FD3AC3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610855"/>
  </w:style>
  <w:style w:type="paragraph" w:styleId="a7">
    <w:name w:val="Normal (Web)"/>
    <w:basedOn w:val="a"/>
    <w:uiPriority w:val="99"/>
    <w:unhideWhenUsed/>
    <w:rsid w:val="00371EC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hps">
    <w:name w:val="hps"/>
    <w:basedOn w:val="a0"/>
    <w:rsid w:val="00BC181B"/>
  </w:style>
  <w:style w:type="paragraph" w:styleId="a8">
    <w:name w:val="Title"/>
    <w:basedOn w:val="a"/>
    <w:next w:val="a"/>
    <w:link w:val="Char1"/>
    <w:uiPriority w:val="10"/>
    <w:qFormat/>
    <w:rsid w:val="00BC181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8"/>
    <w:uiPriority w:val="10"/>
    <w:rsid w:val="00BC181B"/>
    <w:rPr>
      <w:rFonts w:asciiTheme="majorHAnsi" w:eastAsiaTheme="majorEastAsia" w:hAnsiTheme="majorHAnsi" w:cstheme="majorBidi"/>
      <w:b/>
      <w:bCs/>
      <w:sz w:val="32"/>
      <w:szCs w:val="32"/>
      <w:lang w:bidi="ar-SA"/>
    </w:rPr>
  </w:style>
  <w:style w:type="paragraph" w:customStyle="1" w:styleId="s0">
    <w:name w:val="s0"/>
    <w:rsid w:val="007404C2"/>
    <w:pPr>
      <w:widowControl w:val="0"/>
      <w:autoSpaceDE w:val="0"/>
      <w:autoSpaceDN w:val="0"/>
      <w:adjustRightInd w:val="0"/>
    </w:pPr>
    <w:rPr>
      <w:rFonts w:ascii="바탕" w:eastAsia="바탕" w:hAnsi="맑은 고딕" w:cs="Times New Roman"/>
      <w:kern w:val="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5</cp:revision>
  <dcterms:created xsi:type="dcterms:W3CDTF">2012-11-16T05:30:00Z</dcterms:created>
  <dcterms:modified xsi:type="dcterms:W3CDTF">2013-01-03T09:38:00Z</dcterms:modified>
</cp:coreProperties>
</file>