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F07B84" w:rsidRDefault="000E4213" w:rsidP="00CD13AB">
      <w:pPr>
        <w:pStyle w:val="1"/>
      </w:pPr>
      <w:r w:rsidRPr="00F07B84">
        <w:t xml:space="preserve">The </w:t>
      </w:r>
      <w:r w:rsidR="00631BD5" w:rsidRPr="00F07B84">
        <w:rPr>
          <w:rFonts w:hint="eastAsia"/>
        </w:rPr>
        <w:t>2</w:t>
      </w:r>
      <w:r w:rsidR="00631BD5" w:rsidRPr="00F07B84">
        <w:t xml:space="preserve">nd </w:t>
      </w:r>
      <w:r w:rsidR="00EC4131" w:rsidRPr="00F07B84">
        <w:t>NEAR Conference</w:t>
      </w:r>
      <w:r w:rsidR="0076671A" w:rsidRPr="00F07B84">
        <w:rPr>
          <w:rFonts w:hint="eastAsia"/>
        </w:rPr>
        <w:t xml:space="preserve"> </w:t>
      </w:r>
      <w:r w:rsidR="00F07B84" w:rsidRPr="00F07B84">
        <w:rPr>
          <w:rFonts w:hint="eastAsia"/>
        </w:rPr>
        <w:t xml:space="preserve"> </w:t>
      </w:r>
    </w:p>
    <w:p w:rsidR="0076671A" w:rsidRPr="00F07B84" w:rsidRDefault="006F53DE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F07B84">
        <w:rPr>
          <w:rFonts w:ascii="나눔고딕" w:eastAsia="나눔고딕" w:hAnsi="나눔고딕"/>
          <w:b/>
          <w:szCs w:val="20"/>
        </w:rPr>
        <w:t>Overview</w:t>
      </w:r>
      <w:r w:rsidR="0076671A" w:rsidRPr="00F07B84">
        <w:rPr>
          <w:rFonts w:ascii="나눔고딕" w:eastAsia="나눔고딕" w:hAnsi="나눔고딕" w:hint="eastAsia"/>
          <w:b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18"/>
        <w:gridCol w:w="2628"/>
        <w:gridCol w:w="5570"/>
      </w:tblGrid>
      <w:tr w:rsidR="006F53DE" w:rsidRPr="00F07B84" w:rsidTr="006F53DE">
        <w:trPr>
          <w:cnfStyle w:val="100000000000"/>
          <w:trHeight w:val="298"/>
        </w:trPr>
        <w:tc>
          <w:tcPr>
            <w:cnfStyle w:val="001000000000"/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F53DE" w:rsidRPr="00F07B84" w:rsidRDefault="006F53DE">
            <w:pPr>
              <w:rPr>
                <w:rFonts w:ascii="나눔고딕" w:eastAsia="나눔고딕" w:hAnsi="나눔고딕" w:cs="Gulim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Periods</w:t>
            </w:r>
          </w:p>
        </w:tc>
        <w:tc>
          <w:tcPr>
            <w:tcW w:w="82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53DE" w:rsidRPr="00F07B84" w:rsidRDefault="00631BD5" w:rsidP="00631BD5">
            <w:pPr>
              <w:cnfStyle w:val="100000000000"/>
              <w:rPr>
                <w:rFonts w:ascii="나눔고딕" w:eastAsia="나눔고딕" w:hAnsi="나눔고딕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September 07, 1994</w:t>
            </w:r>
            <w:r w:rsidR="000E4213" w:rsidRPr="00F07B84">
              <w:rPr>
                <w:rFonts w:ascii="나눔고딕" w:eastAsia="나눔고딕" w:hAnsi="나눔고딕" w:cs="Arial"/>
                <w:color w:val="auto"/>
                <w:szCs w:val="20"/>
              </w:rPr>
              <w:t xml:space="preserve"> ~ </w:t>
            </w: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September 08, 1994</w:t>
            </w:r>
          </w:p>
        </w:tc>
      </w:tr>
      <w:tr w:rsidR="006F53DE" w:rsidRPr="00F07B84" w:rsidTr="006F53DE">
        <w:trPr>
          <w:cnfStyle w:val="000000100000"/>
          <w:trHeight w:val="476"/>
        </w:trPr>
        <w:tc>
          <w:tcPr>
            <w:cnfStyle w:val="001000000000"/>
            <w:tcW w:w="130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F53DE" w:rsidRPr="00F07B84" w:rsidRDefault="006F53DE">
            <w:pPr>
              <w:rPr>
                <w:rFonts w:ascii="나눔고딕" w:eastAsia="나눔고딕" w:hAnsi="나눔고딕" w:cs="Gulim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Venue (Place</w:t>
            </w:r>
          </w:p>
        </w:tc>
        <w:tc>
          <w:tcPr>
            <w:tcW w:w="821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53DE" w:rsidRPr="00F07B84" w:rsidRDefault="000E4213" w:rsidP="008F0575">
            <w:pPr>
              <w:cnfStyle w:val="000000100000"/>
              <w:rPr>
                <w:rFonts w:ascii="나눔고딕" w:eastAsia="나눔고딕" w:hAnsi="나눔고딕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Japan &gt; Hyogo Prefecture, Grand Hotel, Izmosi-Jeong</w:t>
            </w:r>
          </w:p>
        </w:tc>
      </w:tr>
      <w:tr w:rsidR="006F53DE" w:rsidRPr="00F07B84" w:rsidTr="006F53DE">
        <w:trPr>
          <w:trHeight w:val="298"/>
        </w:trPr>
        <w:tc>
          <w:tcPr>
            <w:cnfStyle w:val="001000000000"/>
            <w:tcW w:w="1300" w:type="dxa"/>
            <w:shd w:val="clear" w:color="auto" w:fill="C6D9F1" w:themeFill="text2" w:themeFillTint="33"/>
            <w:vAlign w:val="center"/>
          </w:tcPr>
          <w:p w:rsidR="006F53DE" w:rsidRPr="00F07B84" w:rsidRDefault="006F53DE">
            <w:pPr>
              <w:rPr>
                <w:rFonts w:ascii="나눔고딕" w:eastAsia="나눔고딕" w:hAnsi="나눔고딕" w:cs="Gulim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Organized by</w:t>
            </w:r>
          </w:p>
        </w:tc>
        <w:tc>
          <w:tcPr>
            <w:tcW w:w="821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F53DE" w:rsidRPr="00F07B84" w:rsidRDefault="000E4213" w:rsidP="008F0575">
            <w:pPr>
              <w:cnfStyle w:val="000000000000"/>
              <w:rPr>
                <w:rFonts w:ascii="나눔고딕" w:eastAsia="나눔고딕" w:hAnsi="나눔고딕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Japan &gt; Hyogo Prefecture, Japan Coastal Area Promotion Association, Japanese Sea Exchange Western Japan Association</w:t>
            </w:r>
          </w:p>
        </w:tc>
      </w:tr>
      <w:tr w:rsidR="006F53DE" w:rsidRPr="00F07B84" w:rsidTr="006F53DE">
        <w:trPr>
          <w:cnfStyle w:val="000000100000"/>
          <w:trHeight w:val="298"/>
        </w:trPr>
        <w:tc>
          <w:tcPr>
            <w:cnfStyle w:val="001000000000"/>
            <w:tcW w:w="1300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6F53DE" w:rsidRPr="00F07B84" w:rsidRDefault="006F53DE">
            <w:pPr>
              <w:rPr>
                <w:rFonts w:ascii="나눔고딕" w:eastAsia="나눔고딕" w:hAnsi="나눔고딕" w:cs="Gulim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Participation</w:t>
            </w:r>
          </w:p>
        </w:tc>
        <w:tc>
          <w:tcPr>
            <w:tcW w:w="821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6F53DE" w:rsidRPr="00F07B84" w:rsidRDefault="000E4213" w:rsidP="008F0575">
            <w:pPr>
              <w:cnfStyle w:val="000000100000"/>
              <w:rPr>
                <w:rFonts w:ascii="나눔고딕" w:eastAsia="나눔고딕" w:hAnsi="나눔고딕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10 regional authorities from 4 countries</w:t>
            </w:r>
          </w:p>
        </w:tc>
      </w:tr>
      <w:tr w:rsidR="000E4213" w:rsidRPr="00F07B84" w:rsidTr="006F53DE">
        <w:trPr>
          <w:trHeight w:val="298"/>
        </w:trPr>
        <w:tc>
          <w:tcPr>
            <w:cnfStyle w:val="001000000000"/>
            <w:tcW w:w="130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E4213" w:rsidRPr="00F07B84" w:rsidRDefault="000E421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  <w:tc>
          <w:tcPr>
            <w:tcW w:w="26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E4213" w:rsidRPr="00F07B84" w:rsidRDefault="000E4213">
            <w:pPr>
              <w:cnfStyle w:val="000000000000"/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China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E4213" w:rsidRPr="00F07B84" w:rsidRDefault="000E4213">
            <w:pPr>
              <w:cnfStyle w:val="000000000000"/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Heilongjiang Province, Henan Province</w:t>
            </w:r>
          </w:p>
        </w:tc>
      </w:tr>
      <w:tr w:rsidR="000E4213" w:rsidRPr="00F07B84" w:rsidTr="006F53DE">
        <w:trPr>
          <w:cnfStyle w:val="000000100000"/>
          <w:trHeight w:val="298"/>
        </w:trPr>
        <w:tc>
          <w:tcPr>
            <w:cnfStyle w:val="001000000000"/>
            <w:tcW w:w="130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E4213" w:rsidRPr="00F07B84" w:rsidRDefault="000E421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  <w:tc>
          <w:tcPr>
            <w:tcW w:w="2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4213" w:rsidRPr="00F07B84" w:rsidRDefault="000E4213">
            <w:pPr>
              <w:cnfStyle w:val="000000100000"/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Japan</w:t>
            </w:r>
          </w:p>
        </w:tc>
        <w:tc>
          <w:tcPr>
            <w:tcW w:w="5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E4213" w:rsidRPr="00F07B84" w:rsidRDefault="000E4213">
            <w:pPr>
              <w:cnfStyle w:val="000000100000"/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Niigata Prefecture, Kyoto Prefecture, Hyogo Prefecture, Tottori Prefecture, Shimane Prefecture</w:t>
            </w:r>
          </w:p>
        </w:tc>
      </w:tr>
      <w:tr w:rsidR="000E4213" w:rsidRPr="00F07B84" w:rsidTr="006F53DE">
        <w:trPr>
          <w:trHeight w:val="298"/>
        </w:trPr>
        <w:tc>
          <w:tcPr>
            <w:cnfStyle w:val="001000000000"/>
            <w:tcW w:w="130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E4213" w:rsidRPr="00F07B84" w:rsidRDefault="000E421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  <w:tc>
          <w:tcPr>
            <w:tcW w:w="26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E4213" w:rsidRPr="00F07B84" w:rsidRDefault="000E4213">
            <w:pPr>
              <w:cnfStyle w:val="000000000000"/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South Korea</w:t>
            </w:r>
          </w:p>
        </w:tc>
        <w:tc>
          <w:tcPr>
            <w:tcW w:w="55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4213" w:rsidRPr="00F07B84" w:rsidRDefault="000E4213">
            <w:pPr>
              <w:cnfStyle w:val="000000000000"/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Gyeongsangbuk-Do</w:t>
            </w:r>
          </w:p>
        </w:tc>
      </w:tr>
      <w:tr w:rsidR="000E4213" w:rsidRPr="00F07B84" w:rsidTr="006F53DE">
        <w:trPr>
          <w:cnfStyle w:val="000000100000"/>
          <w:trHeight w:val="298"/>
        </w:trPr>
        <w:tc>
          <w:tcPr>
            <w:cnfStyle w:val="001000000000"/>
            <w:tcW w:w="130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E4213" w:rsidRPr="00F07B84" w:rsidRDefault="000E421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  <w:tc>
          <w:tcPr>
            <w:tcW w:w="2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4213" w:rsidRPr="00F07B84" w:rsidRDefault="000E4213">
            <w:pPr>
              <w:cnfStyle w:val="000000100000"/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Russia</w:t>
            </w:r>
          </w:p>
        </w:tc>
        <w:tc>
          <w:tcPr>
            <w:tcW w:w="5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E4213" w:rsidRPr="00F07B84" w:rsidRDefault="000E4213">
            <w:pPr>
              <w:cnfStyle w:val="000000100000"/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Primorski Territory, Khabarovsk Territory</w:t>
            </w:r>
          </w:p>
        </w:tc>
      </w:tr>
    </w:tbl>
    <w:p w:rsidR="0076671A" w:rsidRPr="00F07B8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F07B84" w:rsidRDefault="006F53DE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F07B84">
        <w:rPr>
          <w:rFonts w:ascii="나눔고딕" w:eastAsia="나눔고딕" w:hAnsi="나눔고딕"/>
          <w:b/>
          <w:szCs w:val="20"/>
        </w:rPr>
        <w:t>Contents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F07B84" w:rsidTr="000E4213">
        <w:trPr>
          <w:cnfStyle w:val="100000000000"/>
          <w:trHeight w:val="3065"/>
        </w:trPr>
        <w:tc>
          <w:tcPr>
            <w:cnfStyle w:val="001000000000"/>
            <w:tcW w:w="9242" w:type="dxa"/>
          </w:tcPr>
          <w:p w:rsidR="000E4213" w:rsidRPr="00F07B84" w:rsidRDefault="000E4213" w:rsidP="007F7CE3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Each of the current local authority, future outlook, collaborative issues, and debate on exchange in the North East Asia Region</w:t>
            </w: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 </w:t>
            </w:r>
          </w:p>
          <w:p w:rsidR="000E4213" w:rsidRPr="00F07B84" w:rsidRDefault="000E4213" w:rsidP="008F0575">
            <w:pPr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 xml:space="preserve">Activation </w:t>
            </w:r>
            <w:r w:rsidR="00631BD5" w:rsidRPr="00F07B84">
              <w:rPr>
                <w:rFonts w:ascii="나눔고딕" w:eastAsia="나눔고딕" w:hAnsi="나눔고딕" w:cs="Arial"/>
                <w:color w:val="auto"/>
                <w:szCs w:val="20"/>
              </w:rPr>
              <w:t xml:space="preserve">on the </w:t>
            </w: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exchange of youths, protection of marine resources, and mutual efforts on joint issues including environmental problems</w:t>
            </w:r>
          </w:p>
          <w:p w:rsidR="000E4213" w:rsidRPr="00F07B84" w:rsidRDefault="000E4213" w:rsidP="008F0575">
            <w:pPr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Opening of the 3rd conference in Khabarovsk, Russia, in October 1995</w:t>
            </w:r>
          </w:p>
          <w:p w:rsidR="007F7CE3" w:rsidRPr="00F07B84" w:rsidRDefault="000E4213" w:rsidP="008F0575">
            <w:pPr>
              <w:rPr>
                <w:rFonts w:ascii="나눔고딕" w:eastAsia="나눔고딕" w:hAnsi="나눔고딕" w:cs="Arial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Establishment of a standing organization for the activation of exchanges (hosted by Hyogo Prefecture)</w:t>
            </w:r>
          </w:p>
          <w:p w:rsidR="000E4213" w:rsidRPr="00F07B84" w:rsidRDefault="000E4213" w:rsidP="00631BD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F07B84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="00631BD5" w:rsidRPr="00F07B84">
              <w:rPr>
                <w:rFonts w:ascii="나눔고딕" w:eastAsia="나눔고딕" w:hAnsi="나눔고딕" w:cs="Arial"/>
                <w:color w:val="auto"/>
                <w:szCs w:val="20"/>
              </w:rPr>
              <w:t>Ship operation</w:t>
            </w: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 xml:space="preserve"> for boys for the activation </w:t>
            </w:r>
            <w:r w:rsidR="00631BD5" w:rsidRPr="00F07B84">
              <w:rPr>
                <w:rFonts w:ascii="나눔고딕" w:eastAsia="나눔고딕" w:hAnsi="나눔고딕" w:cs="Arial"/>
                <w:color w:val="auto"/>
                <w:szCs w:val="20"/>
              </w:rPr>
              <w:t xml:space="preserve">on </w:t>
            </w:r>
            <w:r w:rsidRPr="00F07B84">
              <w:rPr>
                <w:rFonts w:ascii="나눔고딕" w:eastAsia="나눔고딕" w:hAnsi="나눔고딕" w:cs="Arial"/>
                <w:color w:val="auto"/>
                <w:szCs w:val="20"/>
              </w:rPr>
              <w:t>exchanges of youths (hosted by Shimane Prefecture)</w:t>
            </w:r>
          </w:p>
        </w:tc>
      </w:tr>
    </w:tbl>
    <w:p w:rsidR="0076671A" w:rsidRPr="00F07B8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F07B84" w:rsidRDefault="000E4213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F07B84">
        <w:rPr>
          <w:rFonts w:ascii="나눔고딕" w:eastAsia="나눔고딕" w:hAnsi="나눔고딕" w:cs="Arial"/>
          <w:b/>
          <w:bCs/>
          <w:szCs w:val="20"/>
        </w:rPr>
        <w:t>Hyogo Declaration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0E4213" w:rsidRPr="00F07B84" w:rsidTr="002A1003">
        <w:trPr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631BD5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In Izushi Jeong, Hyogo, Japan from September 7 to 8, 1994, local government authorities from Japan, China, Korea and Russia 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 xml:space="preserve">were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gathered 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 xml:space="preserve">for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The Conference of the Local Governments in the North East Asia Region '94, which bequeathed the spirit of the Shimane Declaration, adopted 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 xml:space="preserve">for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The Conference of the Local Governments in the North East Asia Region '93, held in Matseshi, Shimane 1993. </w:t>
            </w:r>
          </w:p>
        </w:tc>
      </w:tr>
      <w:tr w:rsidR="000E4213" w:rsidRPr="00F07B84" w:rsidTr="002A1003">
        <w:trPr>
          <w:trHeight w:val="225"/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615322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0E4213" w:rsidRPr="00F07B84" w:rsidTr="002A1003">
        <w:trPr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DF53C8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Currently, the world is becoming increasingly interdependent because of borderless environment and relaxed conflict among nations. Each country and region cannot exist without close association with other countries worldwide. </w:t>
            </w:r>
          </w:p>
        </w:tc>
      </w:tr>
      <w:tr w:rsidR="000E4213" w:rsidRPr="00F07B84" w:rsidTr="002A1003">
        <w:trPr>
          <w:trHeight w:val="225"/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615322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0E4213" w:rsidRPr="00F07B84" w:rsidTr="002A1003">
        <w:trPr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DF53C8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Under these circumstances, 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>it is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 realized by 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participating localities that 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>it is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 necessary for all localities in the region 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 xml:space="preserve">to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mutual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respect and try to do for the coexistence during the 21st century in 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 xml:space="preserve">a </w:t>
            </w:r>
            <w:r w:rsidRPr="00F07B84">
              <w:rPr>
                <w:rFonts w:ascii="나눔고딕" w:eastAsia="나눔고딕" w:hAnsi="나눔고딕"/>
                <w:szCs w:val="20"/>
              </w:rPr>
              <w:lastRenderedPageBreak/>
              <w:t xml:space="preserve">mutually understood relationship. </w:t>
            </w:r>
          </w:p>
        </w:tc>
      </w:tr>
      <w:tr w:rsidR="000E4213" w:rsidRPr="00F07B84" w:rsidTr="002A1003">
        <w:trPr>
          <w:trHeight w:val="225"/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615322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lastRenderedPageBreak/>
              <w:t xml:space="preserve"> </w:t>
            </w:r>
          </w:p>
        </w:tc>
      </w:tr>
      <w:tr w:rsidR="000E4213" w:rsidRPr="00F07B84" w:rsidTr="002A1003">
        <w:trPr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DF53C8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We, through the discussions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in two days about the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culture,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person exchange,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economic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>trade,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 and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F07B84">
              <w:rPr>
                <w:rFonts w:ascii="나눔고딕" w:eastAsia="나눔고딕" w:hAnsi="나눔고딕"/>
                <w:szCs w:val="20"/>
              </w:rPr>
              <w:t>technology cooperation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 among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 others, have reached a mutually shared conclusion that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the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participating localities can contribute to peace and prosperity of our region by strengthening solidarity and promoting regional association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>by enhancing the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 exchanges and cooperation under mutual benefits and equality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 xml:space="preserve">. </w:t>
            </w:r>
          </w:p>
        </w:tc>
      </w:tr>
      <w:tr w:rsidR="000E4213" w:rsidRPr="00F07B84" w:rsidTr="002A1003">
        <w:trPr>
          <w:trHeight w:val="225"/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615322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0E4213" w:rsidRPr="00F07B84" w:rsidTr="002A1003">
        <w:trPr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DF53C8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As the first step to realize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this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agenda, we decided to declare to exert efforts mutually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to </w:t>
            </w:r>
            <w:r w:rsidRPr="00F07B84">
              <w:rPr>
                <w:rFonts w:ascii="나눔고딕" w:eastAsia="나눔고딕" w:hAnsi="나눔고딕"/>
                <w:szCs w:val="20"/>
              </w:rPr>
              <w:t>realize the following items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: </w:t>
            </w:r>
          </w:p>
        </w:tc>
      </w:tr>
      <w:tr w:rsidR="000E4213" w:rsidRPr="00F07B84" w:rsidTr="002A1003">
        <w:trPr>
          <w:trHeight w:val="225"/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615322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0E4213" w:rsidRPr="00F07B84" w:rsidTr="002A1003">
        <w:trPr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DF53C8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1. We would continue to hold conferences in the future in order to </w:t>
            </w:r>
            <w:r w:rsidR="00DF53C8" w:rsidRPr="00F07B84">
              <w:rPr>
                <w:rFonts w:ascii="나눔고딕" w:eastAsia="나눔고딕" w:hAnsi="나눔고딕"/>
                <w:szCs w:val="20"/>
              </w:rPr>
              <w:t xml:space="preserve">increase the </w:t>
            </w:r>
            <w:r w:rsidRPr="00F07B84">
              <w:rPr>
                <w:rFonts w:ascii="나눔고딕" w:eastAsia="나눔고딕" w:hAnsi="나눔고딕"/>
                <w:szCs w:val="20"/>
              </w:rPr>
              <w:t xml:space="preserve">association and solidarity of our region. </w:t>
            </w:r>
          </w:p>
        </w:tc>
      </w:tr>
      <w:tr w:rsidR="000E4213" w:rsidRPr="00F07B84" w:rsidTr="002A1003">
        <w:trPr>
          <w:trHeight w:val="225"/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615322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0E4213" w:rsidRPr="00F07B84" w:rsidTr="002A1003">
        <w:trPr>
          <w:tblCellSpacing w:w="0" w:type="dxa"/>
        </w:trPr>
        <w:tc>
          <w:tcPr>
            <w:tcW w:w="0" w:type="auto"/>
            <w:hideMark/>
          </w:tcPr>
          <w:p w:rsidR="000E4213" w:rsidRPr="00F07B84" w:rsidRDefault="000E4213" w:rsidP="00615322">
            <w:pPr>
              <w:rPr>
                <w:rFonts w:ascii="나눔고딕" w:eastAsia="나눔고딕" w:hAnsi="나눔고딕"/>
                <w:szCs w:val="20"/>
              </w:rPr>
            </w:pPr>
            <w:r w:rsidRPr="00F07B84">
              <w:rPr>
                <w:rFonts w:ascii="나눔고딕" w:eastAsia="나눔고딕" w:hAnsi="나눔고딕"/>
                <w:szCs w:val="20"/>
              </w:rPr>
              <w:t>2. We would also investigate the possibilities to specify cooperative programs through association and cooperation among localities with willingness and to continue permanent international conferences where heads of localities will participate</w:t>
            </w:r>
            <w:r w:rsidR="00631BD5" w:rsidRPr="00F07B84">
              <w:rPr>
                <w:rFonts w:ascii="나눔고딕" w:eastAsia="나눔고딕" w:hAnsi="나눔고딕"/>
                <w:szCs w:val="20"/>
              </w:rPr>
              <w:t xml:space="preserve">. </w:t>
            </w:r>
          </w:p>
        </w:tc>
      </w:tr>
    </w:tbl>
    <w:p w:rsidR="0076671A" w:rsidRPr="00F07B84" w:rsidRDefault="0076671A"/>
    <w:sectPr w:rsidR="0076671A" w:rsidRPr="00F07B84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47" w:rsidRDefault="00A60747" w:rsidP="007427F5">
      <w:r>
        <w:separator/>
      </w:r>
    </w:p>
  </w:endnote>
  <w:endnote w:type="continuationSeparator" w:id="0">
    <w:p w:rsidR="00A60747" w:rsidRDefault="00A60747" w:rsidP="0074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47" w:rsidRDefault="00A60747" w:rsidP="007427F5">
      <w:r>
        <w:separator/>
      </w:r>
    </w:p>
  </w:footnote>
  <w:footnote w:type="continuationSeparator" w:id="0">
    <w:p w:rsidR="00A60747" w:rsidRDefault="00A60747" w:rsidP="0074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842F6"/>
    <w:rsid w:val="000E4213"/>
    <w:rsid w:val="000F64B3"/>
    <w:rsid w:val="00127F7D"/>
    <w:rsid w:val="00325391"/>
    <w:rsid w:val="00432A02"/>
    <w:rsid w:val="00461E64"/>
    <w:rsid w:val="004D6E93"/>
    <w:rsid w:val="00513EA5"/>
    <w:rsid w:val="00631BD5"/>
    <w:rsid w:val="006F53DE"/>
    <w:rsid w:val="007427F5"/>
    <w:rsid w:val="0076671A"/>
    <w:rsid w:val="00797A4B"/>
    <w:rsid w:val="007C31F9"/>
    <w:rsid w:val="007F7CE3"/>
    <w:rsid w:val="008638CB"/>
    <w:rsid w:val="008B6D34"/>
    <w:rsid w:val="00A60747"/>
    <w:rsid w:val="00A81E33"/>
    <w:rsid w:val="00BA3DEB"/>
    <w:rsid w:val="00CD13AB"/>
    <w:rsid w:val="00DF53C8"/>
    <w:rsid w:val="00EC226B"/>
    <w:rsid w:val="00EC4131"/>
    <w:rsid w:val="00F0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CD13A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427F5"/>
    <w:rPr>
      <w:rFonts w:ascii="Batang" w:eastAsia="Batang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427F5"/>
    <w:rPr>
      <w:rFonts w:ascii="Batang" w:eastAsia="Batang" w:hAnsi="Times New Roman" w:cs="Times New Roman"/>
      <w:szCs w:val="24"/>
      <w:lang w:bidi="ar-SA"/>
    </w:rPr>
  </w:style>
  <w:style w:type="character" w:customStyle="1" w:styleId="1Char">
    <w:name w:val="제목 1 Char"/>
    <w:basedOn w:val="a0"/>
    <w:link w:val="1"/>
    <w:uiPriority w:val="9"/>
    <w:rsid w:val="00CD13AB"/>
    <w:rPr>
      <w:rFonts w:asciiTheme="majorHAnsi" w:eastAsiaTheme="majorEastAsia" w:hAnsiTheme="majorHAnsi" w:cstheme="majorBidi"/>
      <w:sz w:val="28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631BD5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631BD5"/>
    <w:rPr>
      <w:rFonts w:ascii="Tahoma" w:eastAsia="Batang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0753-CAA3-478A-A363-F767B48A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computer</cp:lastModifiedBy>
  <cp:revision>9</cp:revision>
  <dcterms:created xsi:type="dcterms:W3CDTF">2012-11-15T06:56:00Z</dcterms:created>
  <dcterms:modified xsi:type="dcterms:W3CDTF">2012-12-17T04:44:00Z</dcterms:modified>
</cp:coreProperties>
</file>