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BD" w:rsidRPr="0008714C" w:rsidRDefault="00D25CBD" w:rsidP="00D25CBD">
      <w:pPr>
        <w:rPr>
          <w:rFonts w:ascii="나눔고딕" w:eastAsia="나눔고딕" w:hAnsi="나눔고딕"/>
          <w:b/>
          <w:color w:val="000000" w:themeColor="text1"/>
          <w:szCs w:val="20"/>
        </w:rPr>
      </w:pPr>
      <w:r w:rsidRPr="0008714C">
        <w:rPr>
          <w:rStyle w:val="Heading1Char"/>
        </w:rPr>
        <w:t>The 2nd NEAR Association Conference</w:t>
      </w:r>
      <w:r w:rsidRPr="0008714C">
        <w:rPr>
          <w:rFonts w:ascii="나눔고딕" w:eastAsia="나눔고딕" w:hAnsi="나눔고딕"/>
          <w:b/>
          <w:color w:val="000000" w:themeColor="text1"/>
          <w:szCs w:val="20"/>
        </w:rPr>
        <w:t xml:space="preserve"> </w:t>
      </w:r>
    </w:p>
    <w:p w:rsidR="00D25CBD" w:rsidRPr="0008714C" w:rsidRDefault="00D25CBD" w:rsidP="00D25CBD">
      <w:pPr>
        <w:pStyle w:val="ListParagraph"/>
        <w:numPr>
          <w:ilvl w:val="0"/>
          <w:numId w:val="1"/>
        </w:numPr>
        <w:ind w:leftChars="0"/>
        <w:rPr>
          <w:rFonts w:ascii="나눔고딕" w:eastAsia="나눔고딕" w:hAnsi="나눔고딕"/>
          <w:szCs w:val="20"/>
        </w:rPr>
      </w:pPr>
      <w:r w:rsidRPr="0008714C">
        <w:rPr>
          <w:rFonts w:ascii="나눔고딕" w:eastAsia="나눔고딕" w:hAnsi="나눔고딕"/>
          <w:b/>
          <w:color w:val="000000" w:themeColor="text1"/>
          <w:szCs w:val="20"/>
        </w:rPr>
        <w:t>Overview</w:t>
      </w:r>
      <w:r w:rsidRPr="0008714C">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318"/>
        <w:gridCol w:w="2628"/>
        <w:gridCol w:w="5570"/>
      </w:tblGrid>
      <w:tr w:rsidR="00D25CBD" w:rsidRPr="00A52CD6" w:rsidTr="00D057D5">
        <w:trPr>
          <w:cnfStyle w:val="100000000000"/>
          <w:trHeight w:val="298"/>
        </w:trPr>
        <w:tc>
          <w:tcPr>
            <w:cnfStyle w:val="001000000000"/>
            <w:tcW w:w="1318"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D25CBD" w:rsidRPr="0008714C" w:rsidRDefault="00D25CBD" w:rsidP="00D057D5">
            <w:pPr>
              <w:rPr>
                <w:rFonts w:ascii="나눔고딕" w:eastAsia="나눔고딕" w:hAnsi="나눔고딕" w:cs="Gulim"/>
                <w:szCs w:val="20"/>
              </w:rPr>
            </w:pPr>
            <w:r w:rsidRPr="0008714C">
              <w:rPr>
                <w:rFonts w:ascii="나눔고딕" w:eastAsia="나눔고딕" w:hAnsi="나눔고딕" w:hint="eastAsia"/>
                <w:szCs w:val="20"/>
              </w:rPr>
              <w:t>Periods</w:t>
            </w:r>
          </w:p>
        </w:tc>
        <w:tc>
          <w:tcPr>
            <w:tcW w:w="8198" w:type="dxa"/>
            <w:gridSpan w:val="2"/>
            <w:tcBorders>
              <w:top w:val="none" w:sz="0" w:space="0" w:color="auto"/>
              <w:left w:val="none" w:sz="0" w:space="0" w:color="auto"/>
              <w:bottom w:val="none" w:sz="0" w:space="0" w:color="auto"/>
              <w:right w:val="none" w:sz="0" w:space="0" w:color="auto"/>
            </w:tcBorders>
            <w:shd w:val="clear" w:color="auto" w:fill="auto"/>
          </w:tcPr>
          <w:p w:rsidR="00D25CBD" w:rsidRPr="0008714C" w:rsidRDefault="00D25CBD" w:rsidP="00D057D5">
            <w:pPr>
              <w:cnfStyle w:val="100000000000"/>
              <w:rPr>
                <w:rFonts w:ascii="나눔고딕" w:eastAsia="나눔고딕" w:hAnsi="나눔고딕"/>
                <w:szCs w:val="20"/>
              </w:rPr>
            </w:pPr>
            <w:r>
              <w:rPr>
                <w:rFonts w:ascii="나눔고딕" w:eastAsia="나눔고딕" w:hAnsi="나눔고딕" w:cs="Arial"/>
                <w:color w:val="000000"/>
                <w:szCs w:val="20"/>
              </w:rPr>
              <w:t>October 20, 1998</w:t>
            </w:r>
            <w:r w:rsidRPr="0008714C">
              <w:rPr>
                <w:rFonts w:ascii="나눔고딕" w:eastAsia="나눔고딕" w:hAnsi="나눔고딕" w:cs="Arial"/>
                <w:color w:val="000000"/>
                <w:szCs w:val="20"/>
              </w:rPr>
              <w:t xml:space="preserve"> ~ </w:t>
            </w:r>
            <w:r>
              <w:rPr>
                <w:rFonts w:ascii="나눔고딕" w:eastAsia="나눔고딕" w:hAnsi="나눔고딕" w:cs="Arial"/>
                <w:color w:val="000000"/>
                <w:szCs w:val="20"/>
              </w:rPr>
              <w:t>October 22, 1998</w:t>
            </w:r>
          </w:p>
        </w:tc>
      </w:tr>
      <w:tr w:rsidR="00D25CBD" w:rsidRPr="00A52CD6" w:rsidTr="00D057D5">
        <w:trPr>
          <w:cnfStyle w:val="000000100000"/>
          <w:trHeight w:val="476"/>
        </w:trPr>
        <w:tc>
          <w:tcPr>
            <w:cnfStyle w:val="001000000000"/>
            <w:tcW w:w="1318" w:type="dxa"/>
            <w:tcBorders>
              <w:left w:val="none" w:sz="0" w:space="0" w:color="auto"/>
              <w:right w:val="none" w:sz="0" w:space="0" w:color="auto"/>
            </w:tcBorders>
            <w:shd w:val="clear" w:color="auto" w:fill="C6D9F1" w:themeFill="text2" w:themeFillTint="33"/>
            <w:vAlign w:val="center"/>
          </w:tcPr>
          <w:p w:rsidR="00D25CBD" w:rsidRPr="0008714C" w:rsidRDefault="00D25CBD" w:rsidP="00D057D5">
            <w:pPr>
              <w:rPr>
                <w:rFonts w:ascii="나눔고딕" w:eastAsia="나눔고딕" w:hAnsi="나눔고딕" w:cs="Gulim"/>
                <w:szCs w:val="20"/>
              </w:rPr>
            </w:pPr>
            <w:r w:rsidRPr="0008714C">
              <w:rPr>
                <w:rFonts w:ascii="나눔고딕" w:eastAsia="나눔고딕" w:hAnsi="나눔고딕" w:hint="eastAsia"/>
                <w:szCs w:val="20"/>
              </w:rPr>
              <w:t>Venue (Place</w:t>
            </w:r>
          </w:p>
        </w:tc>
        <w:tc>
          <w:tcPr>
            <w:tcW w:w="8198" w:type="dxa"/>
            <w:gridSpan w:val="2"/>
            <w:tcBorders>
              <w:left w:val="none" w:sz="0" w:space="0" w:color="auto"/>
              <w:right w:val="none" w:sz="0" w:space="0" w:color="auto"/>
            </w:tcBorders>
            <w:shd w:val="clear" w:color="auto" w:fill="auto"/>
          </w:tcPr>
          <w:p w:rsidR="00D25CBD" w:rsidRPr="0008714C" w:rsidRDefault="00D25CBD" w:rsidP="00D057D5">
            <w:pPr>
              <w:cnfStyle w:val="000000100000"/>
              <w:rPr>
                <w:rFonts w:ascii="나눔고딕" w:eastAsia="나눔고딕" w:hAnsi="나눔고딕"/>
                <w:szCs w:val="20"/>
              </w:rPr>
            </w:pPr>
            <w:r w:rsidRPr="0008714C">
              <w:rPr>
                <w:rFonts w:ascii="나눔고딕" w:eastAsia="나눔고딕" w:hAnsi="나눔고딕" w:cs="Arial"/>
                <w:color w:val="000000"/>
                <w:szCs w:val="20"/>
              </w:rPr>
              <w:t>Japan &gt; Toyama Prefecture, Toyama</w:t>
            </w:r>
          </w:p>
        </w:tc>
      </w:tr>
      <w:tr w:rsidR="00D25CBD" w:rsidRPr="00A52CD6" w:rsidTr="00D057D5">
        <w:trPr>
          <w:trHeight w:val="298"/>
        </w:trPr>
        <w:tc>
          <w:tcPr>
            <w:cnfStyle w:val="001000000000"/>
            <w:tcW w:w="1318" w:type="dxa"/>
            <w:shd w:val="clear" w:color="auto" w:fill="C6D9F1" w:themeFill="text2" w:themeFillTint="33"/>
            <w:vAlign w:val="center"/>
          </w:tcPr>
          <w:p w:rsidR="00D25CBD" w:rsidRPr="0008714C" w:rsidRDefault="00D25CBD" w:rsidP="00D057D5">
            <w:pPr>
              <w:rPr>
                <w:rFonts w:ascii="나눔고딕" w:eastAsia="나눔고딕" w:hAnsi="나눔고딕" w:cs="Gulim"/>
                <w:szCs w:val="20"/>
              </w:rPr>
            </w:pPr>
            <w:r w:rsidRPr="0008714C">
              <w:rPr>
                <w:rFonts w:ascii="나눔고딕" w:eastAsia="나눔고딕" w:hAnsi="나눔고딕" w:hint="eastAsia"/>
                <w:szCs w:val="20"/>
              </w:rPr>
              <w:t>Organized by</w:t>
            </w:r>
          </w:p>
        </w:tc>
        <w:tc>
          <w:tcPr>
            <w:tcW w:w="8198" w:type="dxa"/>
            <w:gridSpan w:val="2"/>
            <w:tcBorders>
              <w:bottom w:val="dotted" w:sz="4" w:space="0" w:color="auto"/>
            </w:tcBorders>
            <w:shd w:val="clear" w:color="auto" w:fill="auto"/>
          </w:tcPr>
          <w:p w:rsidR="00D25CBD" w:rsidRPr="0008714C" w:rsidRDefault="00D25CBD" w:rsidP="00D057D5">
            <w:pPr>
              <w:cnfStyle w:val="000000000000"/>
              <w:rPr>
                <w:rFonts w:ascii="나눔고딕" w:eastAsia="나눔고딕" w:hAnsi="나눔고딕"/>
                <w:szCs w:val="20"/>
              </w:rPr>
            </w:pPr>
            <w:r w:rsidRPr="0008714C">
              <w:rPr>
                <w:rFonts w:ascii="나눔고딕" w:eastAsia="나눔고딕" w:hAnsi="나눔고딕" w:cs="Arial"/>
                <w:color w:val="000000"/>
                <w:szCs w:val="20"/>
              </w:rPr>
              <w:t>Japan &gt; Toyama Prefecture</w:t>
            </w:r>
          </w:p>
        </w:tc>
      </w:tr>
      <w:tr w:rsidR="00D25CBD" w:rsidRPr="00A52CD6" w:rsidTr="00D057D5">
        <w:trPr>
          <w:cnfStyle w:val="000000100000"/>
          <w:trHeight w:val="298"/>
        </w:trPr>
        <w:tc>
          <w:tcPr>
            <w:cnfStyle w:val="001000000000"/>
            <w:tcW w:w="1318" w:type="dxa"/>
            <w:vMerge w:val="restart"/>
            <w:tcBorders>
              <w:right w:val="dotted" w:sz="4" w:space="0" w:color="auto"/>
            </w:tcBorders>
            <w:shd w:val="clear" w:color="auto" w:fill="C6D9F1" w:themeFill="text2" w:themeFillTint="33"/>
            <w:vAlign w:val="center"/>
          </w:tcPr>
          <w:p w:rsidR="00D25CBD" w:rsidRPr="0008714C" w:rsidRDefault="00D25CBD" w:rsidP="00D057D5">
            <w:pPr>
              <w:rPr>
                <w:rFonts w:ascii="나눔고딕" w:eastAsia="나눔고딕" w:hAnsi="나눔고딕" w:cs="Gulim"/>
                <w:szCs w:val="20"/>
              </w:rPr>
            </w:pPr>
            <w:r w:rsidRPr="0008714C">
              <w:rPr>
                <w:rFonts w:ascii="나눔고딕" w:eastAsia="나눔고딕" w:hAnsi="나눔고딕" w:hint="eastAsia"/>
                <w:szCs w:val="20"/>
              </w:rPr>
              <w:t>Participation</w:t>
            </w:r>
          </w:p>
        </w:tc>
        <w:tc>
          <w:tcPr>
            <w:tcW w:w="8198" w:type="dxa"/>
            <w:gridSpan w:val="2"/>
            <w:tcBorders>
              <w:left w:val="dotted" w:sz="4" w:space="0" w:color="auto"/>
            </w:tcBorders>
            <w:shd w:val="clear" w:color="auto" w:fill="auto"/>
          </w:tcPr>
          <w:p w:rsidR="00D25CBD" w:rsidRPr="0008714C" w:rsidRDefault="00D25CBD" w:rsidP="00D057D5">
            <w:pPr>
              <w:cnfStyle w:val="000000100000"/>
              <w:rPr>
                <w:rFonts w:ascii="나눔고딕" w:eastAsia="나눔고딕" w:hAnsi="나눔고딕"/>
                <w:szCs w:val="20"/>
              </w:rPr>
            </w:pPr>
            <w:r w:rsidRPr="0008714C">
              <w:rPr>
                <w:rFonts w:ascii="나눔고딕" w:eastAsia="나눔고딕" w:hAnsi="나눔고딕" w:cs="Arial"/>
                <w:color w:val="000000"/>
                <w:szCs w:val="20"/>
              </w:rPr>
              <w:t>24 regional authorities from 5 countries</w:t>
            </w:r>
          </w:p>
        </w:tc>
      </w:tr>
      <w:tr w:rsidR="00D25CBD" w:rsidRPr="00A52CD6" w:rsidTr="00D057D5">
        <w:trPr>
          <w:trHeight w:val="298"/>
        </w:trPr>
        <w:tc>
          <w:tcPr>
            <w:cnfStyle w:val="001000000000"/>
            <w:tcW w:w="1318" w:type="dxa"/>
            <w:vMerge/>
            <w:tcBorders>
              <w:right w:val="dotted" w:sz="4" w:space="0" w:color="auto"/>
            </w:tcBorders>
            <w:shd w:val="clear" w:color="auto" w:fill="C6D9F1" w:themeFill="text2" w:themeFillTint="33"/>
          </w:tcPr>
          <w:p w:rsidR="00D25CBD" w:rsidRPr="00A52CD6" w:rsidRDefault="00D25CBD" w:rsidP="00D057D5">
            <w:pPr>
              <w:rPr>
                <w:rFonts w:ascii="나눔고딕" w:eastAsia="나눔고딕" w:hAnsi="나눔고딕"/>
                <w:szCs w:val="20"/>
              </w:rPr>
            </w:pPr>
          </w:p>
        </w:tc>
        <w:tc>
          <w:tcPr>
            <w:tcW w:w="2628" w:type="dxa"/>
            <w:tcBorders>
              <w:left w:val="dotted" w:sz="4" w:space="0" w:color="auto"/>
            </w:tcBorders>
            <w:shd w:val="clear" w:color="auto" w:fill="auto"/>
            <w:vAlign w:val="center"/>
          </w:tcPr>
          <w:p w:rsidR="00D25CBD" w:rsidRPr="0008714C" w:rsidRDefault="00D25CBD" w:rsidP="00D057D5">
            <w:pPr>
              <w:cnfStyle w:val="000000000000"/>
              <w:rPr>
                <w:rFonts w:ascii="나눔고딕" w:eastAsia="나눔고딕" w:hAnsi="나눔고딕" w:cs="Arial"/>
                <w:color w:val="000000"/>
                <w:szCs w:val="20"/>
              </w:rPr>
            </w:pPr>
            <w:r w:rsidRPr="0008714C">
              <w:rPr>
                <w:rFonts w:ascii="나눔고딕" w:eastAsia="나눔고딕" w:hAnsi="나눔고딕" w:cs="Arial"/>
                <w:color w:val="000000"/>
                <w:szCs w:val="20"/>
              </w:rPr>
              <w:t>China</w:t>
            </w:r>
          </w:p>
        </w:tc>
        <w:tc>
          <w:tcPr>
            <w:tcW w:w="5570" w:type="dxa"/>
            <w:shd w:val="clear" w:color="auto" w:fill="auto"/>
            <w:vAlign w:val="center"/>
          </w:tcPr>
          <w:p w:rsidR="00D25CBD" w:rsidRPr="0008714C" w:rsidRDefault="00D25CBD" w:rsidP="00D057D5">
            <w:pPr>
              <w:cnfStyle w:val="000000000000"/>
              <w:rPr>
                <w:rFonts w:ascii="나눔고딕" w:eastAsia="나눔고딕" w:hAnsi="나눔고딕" w:cs="Arial"/>
                <w:color w:val="000000"/>
                <w:szCs w:val="20"/>
              </w:rPr>
            </w:pPr>
            <w:r w:rsidRPr="0008714C">
              <w:rPr>
                <w:rFonts w:ascii="나눔고딕" w:eastAsia="나눔고딕" w:hAnsi="나눔고딕" w:cs="Arial"/>
                <w:color w:val="000000"/>
                <w:szCs w:val="20"/>
              </w:rPr>
              <w:t>Liaoning Province, Shandong Province</w:t>
            </w:r>
          </w:p>
        </w:tc>
      </w:tr>
      <w:tr w:rsidR="00D25CBD" w:rsidRPr="00A52CD6" w:rsidTr="00D057D5">
        <w:trPr>
          <w:cnfStyle w:val="000000100000"/>
          <w:trHeight w:val="298"/>
        </w:trPr>
        <w:tc>
          <w:tcPr>
            <w:cnfStyle w:val="001000000000"/>
            <w:tcW w:w="1318" w:type="dxa"/>
            <w:vMerge/>
            <w:tcBorders>
              <w:right w:val="dotted" w:sz="4" w:space="0" w:color="auto"/>
            </w:tcBorders>
            <w:shd w:val="clear" w:color="auto" w:fill="C6D9F1" w:themeFill="text2" w:themeFillTint="33"/>
          </w:tcPr>
          <w:p w:rsidR="00D25CBD" w:rsidRPr="00A52CD6" w:rsidRDefault="00D25CBD" w:rsidP="00D057D5">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D25CBD" w:rsidRPr="0008714C" w:rsidRDefault="00D25CBD" w:rsidP="00D057D5">
            <w:pPr>
              <w:cnfStyle w:val="000000100000"/>
              <w:rPr>
                <w:rFonts w:ascii="나눔고딕" w:eastAsia="나눔고딕" w:hAnsi="나눔고딕" w:cs="Arial"/>
                <w:color w:val="000000"/>
                <w:szCs w:val="20"/>
              </w:rPr>
            </w:pPr>
            <w:r w:rsidRPr="0008714C">
              <w:rPr>
                <w:rFonts w:ascii="나눔고딕" w:eastAsia="나눔고딕" w:hAnsi="나눔고딕" w:cs="Arial"/>
                <w:color w:val="000000"/>
                <w:szCs w:val="20"/>
              </w:rPr>
              <w:t>Japan</w:t>
            </w:r>
          </w:p>
        </w:tc>
        <w:tc>
          <w:tcPr>
            <w:tcW w:w="5570" w:type="dxa"/>
            <w:tcBorders>
              <w:left w:val="dotted" w:sz="4" w:space="0" w:color="auto"/>
            </w:tcBorders>
            <w:shd w:val="clear" w:color="auto" w:fill="auto"/>
            <w:vAlign w:val="center"/>
          </w:tcPr>
          <w:p w:rsidR="00D25CBD" w:rsidRPr="0008714C" w:rsidRDefault="00D25CBD" w:rsidP="00D057D5">
            <w:pPr>
              <w:cnfStyle w:val="000000100000"/>
              <w:rPr>
                <w:rFonts w:ascii="나눔고딕" w:eastAsia="나눔고딕" w:hAnsi="나눔고딕" w:cs="Arial"/>
                <w:color w:val="000000"/>
                <w:szCs w:val="20"/>
              </w:rPr>
            </w:pPr>
            <w:r w:rsidRPr="0008714C">
              <w:rPr>
                <w:rFonts w:ascii="나눔고딕" w:eastAsia="나눔고딕" w:hAnsi="나눔고딕" w:cs="Arial"/>
                <w:color w:val="000000"/>
                <w:szCs w:val="20"/>
              </w:rPr>
              <w:t>Aomori Prefecture, Yamagata Prefecture, Niigata Prefecture, Toyama Prefecture, Ishikawa Prefecture, Fukui Prefecture, Kyoto Prefecture, Hyogo Prefecture, Tottori Prefecture, Shimane Prefecture, Yamaguchi Prefecture</w:t>
            </w:r>
          </w:p>
        </w:tc>
      </w:tr>
      <w:tr w:rsidR="00D25CBD" w:rsidRPr="00A52CD6" w:rsidTr="00D057D5">
        <w:trPr>
          <w:trHeight w:val="298"/>
        </w:trPr>
        <w:tc>
          <w:tcPr>
            <w:cnfStyle w:val="001000000000"/>
            <w:tcW w:w="1318" w:type="dxa"/>
            <w:vMerge/>
            <w:tcBorders>
              <w:right w:val="dotted" w:sz="4" w:space="0" w:color="auto"/>
            </w:tcBorders>
            <w:shd w:val="clear" w:color="auto" w:fill="C6D9F1" w:themeFill="text2" w:themeFillTint="33"/>
          </w:tcPr>
          <w:p w:rsidR="00D25CBD" w:rsidRPr="00A52CD6" w:rsidRDefault="00D25CBD" w:rsidP="00D057D5">
            <w:pPr>
              <w:rPr>
                <w:rFonts w:ascii="나눔고딕" w:eastAsia="나눔고딕" w:hAnsi="나눔고딕"/>
                <w:szCs w:val="20"/>
              </w:rPr>
            </w:pPr>
          </w:p>
        </w:tc>
        <w:tc>
          <w:tcPr>
            <w:tcW w:w="2628" w:type="dxa"/>
            <w:tcBorders>
              <w:left w:val="dotted" w:sz="4" w:space="0" w:color="auto"/>
            </w:tcBorders>
            <w:shd w:val="clear" w:color="auto" w:fill="auto"/>
            <w:vAlign w:val="center"/>
          </w:tcPr>
          <w:p w:rsidR="00D25CBD" w:rsidRPr="0008714C" w:rsidRDefault="00D25CBD" w:rsidP="00D057D5">
            <w:pPr>
              <w:cnfStyle w:val="000000000000"/>
              <w:rPr>
                <w:rFonts w:ascii="나눔고딕" w:eastAsia="나눔고딕" w:hAnsi="나눔고딕" w:cs="Arial"/>
                <w:color w:val="000000"/>
                <w:szCs w:val="20"/>
              </w:rPr>
            </w:pPr>
            <w:r w:rsidRPr="0008714C">
              <w:rPr>
                <w:rFonts w:ascii="나눔고딕" w:eastAsia="나눔고딕" w:hAnsi="나눔고딕" w:cs="Arial"/>
                <w:color w:val="000000"/>
                <w:szCs w:val="20"/>
              </w:rPr>
              <w:t>South Korea</w:t>
            </w:r>
          </w:p>
        </w:tc>
        <w:tc>
          <w:tcPr>
            <w:tcW w:w="5570" w:type="dxa"/>
            <w:tcBorders>
              <w:bottom w:val="dotted" w:sz="4" w:space="0" w:color="auto"/>
            </w:tcBorders>
            <w:shd w:val="clear" w:color="auto" w:fill="auto"/>
            <w:vAlign w:val="center"/>
          </w:tcPr>
          <w:p w:rsidR="00D25CBD" w:rsidRPr="0008714C" w:rsidRDefault="00D25CBD" w:rsidP="00D057D5">
            <w:pPr>
              <w:cnfStyle w:val="000000000000"/>
              <w:rPr>
                <w:rFonts w:ascii="나눔고딕" w:eastAsia="나눔고딕" w:hAnsi="나눔고딕" w:cs="Arial"/>
                <w:color w:val="000000"/>
                <w:szCs w:val="20"/>
              </w:rPr>
            </w:pPr>
            <w:r w:rsidRPr="0008714C">
              <w:rPr>
                <w:rFonts w:ascii="나눔고딕" w:eastAsia="나눔고딕" w:hAnsi="나눔고딕" w:cs="Arial"/>
                <w:color w:val="000000"/>
                <w:szCs w:val="20"/>
              </w:rPr>
              <w:t>Gangwon-Do, Chungcheongbuk-Do, Chungcheongnam-Do, Jeollabuk-Do, Jeollanam-Do, Gyeongsangbuk-Do, Gyeongsangnam-Do</w:t>
            </w:r>
          </w:p>
        </w:tc>
      </w:tr>
      <w:tr w:rsidR="00D25CBD" w:rsidRPr="00A52CD6" w:rsidTr="00D057D5">
        <w:trPr>
          <w:cnfStyle w:val="000000100000"/>
          <w:trHeight w:val="298"/>
        </w:trPr>
        <w:tc>
          <w:tcPr>
            <w:cnfStyle w:val="001000000000"/>
            <w:tcW w:w="1318" w:type="dxa"/>
            <w:vMerge/>
            <w:tcBorders>
              <w:right w:val="dotted" w:sz="4" w:space="0" w:color="auto"/>
            </w:tcBorders>
            <w:shd w:val="clear" w:color="auto" w:fill="C6D9F1" w:themeFill="text2" w:themeFillTint="33"/>
          </w:tcPr>
          <w:p w:rsidR="00D25CBD" w:rsidRPr="00A52CD6" w:rsidRDefault="00D25CBD" w:rsidP="00D057D5">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D25CBD" w:rsidRPr="0008714C" w:rsidRDefault="00D25CBD" w:rsidP="00D057D5">
            <w:pPr>
              <w:cnfStyle w:val="000000100000"/>
              <w:rPr>
                <w:rFonts w:ascii="나눔고딕" w:eastAsia="나눔고딕" w:hAnsi="나눔고딕" w:cs="Arial"/>
                <w:color w:val="000000"/>
                <w:szCs w:val="20"/>
              </w:rPr>
            </w:pPr>
            <w:r w:rsidRPr="0008714C">
              <w:rPr>
                <w:rFonts w:ascii="나눔고딕" w:eastAsia="나눔고딕" w:hAnsi="나눔고딕" w:cs="Arial"/>
                <w:color w:val="000000"/>
                <w:szCs w:val="20"/>
              </w:rPr>
              <w:t>Mongolia</w:t>
            </w:r>
          </w:p>
        </w:tc>
        <w:tc>
          <w:tcPr>
            <w:tcW w:w="5570" w:type="dxa"/>
            <w:tcBorders>
              <w:left w:val="dotted" w:sz="4" w:space="0" w:color="auto"/>
            </w:tcBorders>
            <w:shd w:val="clear" w:color="auto" w:fill="auto"/>
            <w:vAlign w:val="center"/>
          </w:tcPr>
          <w:p w:rsidR="00D25CBD" w:rsidRPr="0008714C" w:rsidRDefault="00D25CBD" w:rsidP="00D057D5">
            <w:pPr>
              <w:cnfStyle w:val="000000100000"/>
              <w:rPr>
                <w:rFonts w:ascii="나눔고딕" w:eastAsia="나눔고딕" w:hAnsi="나눔고딕" w:cs="Arial"/>
                <w:color w:val="000000"/>
                <w:szCs w:val="20"/>
              </w:rPr>
            </w:pPr>
            <w:r w:rsidRPr="0008714C">
              <w:rPr>
                <w:rFonts w:ascii="나눔고딕" w:eastAsia="나눔고딕" w:hAnsi="나눔고딕" w:cs="Arial"/>
                <w:color w:val="000000"/>
                <w:szCs w:val="20"/>
              </w:rPr>
              <w:t>Tuv Aimak</w:t>
            </w:r>
          </w:p>
        </w:tc>
      </w:tr>
      <w:tr w:rsidR="00D25CBD" w:rsidRPr="00A52CD6" w:rsidTr="00D057D5">
        <w:trPr>
          <w:trHeight w:val="298"/>
        </w:trPr>
        <w:tc>
          <w:tcPr>
            <w:cnfStyle w:val="001000000000"/>
            <w:tcW w:w="1318" w:type="dxa"/>
            <w:tcBorders>
              <w:right w:val="dotted" w:sz="4" w:space="0" w:color="auto"/>
            </w:tcBorders>
            <w:shd w:val="clear" w:color="auto" w:fill="C6D9F1" w:themeFill="text2" w:themeFillTint="33"/>
          </w:tcPr>
          <w:p w:rsidR="00D25CBD" w:rsidRPr="00A52CD6" w:rsidRDefault="00D25CBD" w:rsidP="00D057D5">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D25CBD" w:rsidRPr="0008714C" w:rsidRDefault="00D25CBD" w:rsidP="00D057D5">
            <w:pPr>
              <w:cnfStyle w:val="000000000000"/>
              <w:rPr>
                <w:rFonts w:ascii="나눔고딕" w:eastAsia="나눔고딕" w:hAnsi="나눔고딕" w:cs="Arial"/>
                <w:color w:val="000000"/>
                <w:szCs w:val="20"/>
              </w:rPr>
            </w:pPr>
            <w:r w:rsidRPr="0008714C">
              <w:rPr>
                <w:rFonts w:ascii="나눔고딕" w:eastAsia="나눔고딕" w:hAnsi="나눔고딕" w:cs="Arial"/>
                <w:color w:val="000000"/>
                <w:szCs w:val="20"/>
              </w:rPr>
              <w:t>Russia</w:t>
            </w:r>
          </w:p>
        </w:tc>
        <w:tc>
          <w:tcPr>
            <w:tcW w:w="5570" w:type="dxa"/>
            <w:tcBorders>
              <w:left w:val="dotted" w:sz="4" w:space="0" w:color="auto"/>
            </w:tcBorders>
            <w:shd w:val="clear" w:color="auto" w:fill="auto"/>
            <w:vAlign w:val="center"/>
          </w:tcPr>
          <w:p w:rsidR="00D25CBD" w:rsidRPr="0008714C" w:rsidRDefault="00D25CBD" w:rsidP="00D057D5">
            <w:pPr>
              <w:cnfStyle w:val="000000000000"/>
              <w:rPr>
                <w:rFonts w:ascii="나눔고딕" w:eastAsia="나눔고딕" w:hAnsi="나눔고딕" w:cs="Arial"/>
                <w:color w:val="000000"/>
                <w:szCs w:val="20"/>
              </w:rPr>
            </w:pPr>
            <w:r w:rsidRPr="0008714C">
              <w:rPr>
                <w:rFonts w:ascii="나눔고딕" w:eastAsia="나눔고딕" w:hAnsi="나눔고딕" w:cs="Arial"/>
                <w:color w:val="000000"/>
                <w:szCs w:val="20"/>
              </w:rPr>
              <w:t>Republic of Sakha (Yakutia), Primorski Territory, Khabarovsk Territory</w:t>
            </w:r>
          </w:p>
        </w:tc>
      </w:tr>
    </w:tbl>
    <w:p w:rsidR="00D25CBD" w:rsidRPr="00A52CD6" w:rsidRDefault="00D25CBD" w:rsidP="00D25CBD">
      <w:pPr>
        <w:rPr>
          <w:rFonts w:ascii="나눔고딕" w:eastAsia="나눔고딕" w:hAnsi="나눔고딕"/>
          <w:szCs w:val="20"/>
        </w:rPr>
      </w:pPr>
    </w:p>
    <w:p w:rsidR="00D25CBD" w:rsidRPr="0008714C" w:rsidRDefault="00D25CBD" w:rsidP="00D25CBD">
      <w:pPr>
        <w:pStyle w:val="ListParagraph"/>
        <w:numPr>
          <w:ilvl w:val="0"/>
          <w:numId w:val="1"/>
        </w:numPr>
        <w:ind w:leftChars="0"/>
        <w:rPr>
          <w:rFonts w:ascii="나눔고딕" w:eastAsia="나눔고딕" w:hAnsi="나눔고딕"/>
          <w:szCs w:val="20"/>
        </w:rPr>
      </w:pPr>
      <w:r w:rsidRPr="0008714C">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D25CBD" w:rsidRPr="00A52CD6" w:rsidTr="00D057D5">
        <w:trPr>
          <w:cnfStyle w:val="100000000000"/>
          <w:trHeight w:val="2345"/>
        </w:trPr>
        <w:tc>
          <w:tcPr>
            <w:cnfStyle w:val="001000000000"/>
            <w:tcW w:w="9242" w:type="dxa"/>
          </w:tcPr>
          <w:p w:rsidR="00D25CBD" w:rsidRPr="0008714C" w:rsidRDefault="00D25CBD" w:rsidP="00D057D5">
            <w:pPr>
              <w:rPr>
                <w:rFonts w:ascii="나눔고딕" w:eastAsia="나눔고딕" w:hAnsi="나눔고딕"/>
                <w:color w:val="auto"/>
                <w:szCs w:val="20"/>
              </w:rPr>
            </w:pPr>
            <w:r w:rsidRPr="0008714C">
              <w:rPr>
                <w:rFonts w:ascii="나눔고딕" w:eastAsia="나눔고딕" w:hAnsi="나눔고딕" w:hint="eastAsia"/>
                <w:color w:val="auto"/>
                <w:szCs w:val="20"/>
              </w:rPr>
              <w:t xml:space="preserve">▷ </w:t>
            </w:r>
            <w:r w:rsidRPr="0008714C">
              <w:rPr>
                <w:rFonts w:ascii="나눔고딕" w:eastAsia="나눔고딕" w:hAnsi="나눔고딕" w:cs="Arial"/>
                <w:color w:val="000000"/>
                <w:szCs w:val="20"/>
              </w:rPr>
              <w:t>Disposition of the proposals for</w:t>
            </w:r>
            <w:r w:rsidRPr="0008714C">
              <w:rPr>
                <w:rFonts w:ascii="나눔고딕" w:eastAsia="나눔고딕" w:hAnsi="나눔고딕" w:cs="Arial"/>
                <w:color w:val="000000"/>
                <w:szCs w:val="20"/>
              </w:rPr>
              <w:t xml:space="preserve"> </w:t>
            </w:r>
            <w:r w:rsidRPr="0008714C">
              <w:rPr>
                <w:rFonts w:ascii="나눔고딕" w:eastAsia="나눔고딕" w:hAnsi="나눔고딕" w:cs="Arial"/>
                <w:color w:val="000000"/>
                <w:szCs w:val="20"/>
              </w:rPr>
              <w:t>revision of the Charter</w:t>
            </w:r>
          </w:p>
          <w:tbl>
            <w:tblPr>
              <w:tblW w:w="9550" w:type="dxa"/>
              <w:tblCellSpacing w:w="0" w:type="dxa"/>
              <w:tblCellMar>
                <w:left w:w="0" w:type="dxa"/>
                <w:right w:w="0" w:type="dxa"/>
              </w:tblCellMar>
              <w:tblLook w:val="04A0"/>
            </w:tblPr>
            <w:tblGrid>
              <w:gridCol w:w="9550"/>
            </w:tblGrid>
            <w:tr w:rsidR="00D25CBD" w:rsidRPr="00A52CD6" w:rsidTr="00D057D5">
              <w:trPr>
                <w:trHeight w:val="400"/>
                <w:tblCellSpacing w:w="0" w:type="dxa"/>
              </w:trPr>
              <w:tc>
                <w:tcPr>
                  <w:tcW w:w="0" w:type="auto"/>
                  <w:vAlign w:val="center"/>
                  <w:hideMark/>
                </w:tcPr>
                <w:p w:rsidR="00D25CBD" w:rsidRPr="00A52CD6" w:rsidRDefault="00D25CBD" w:rsidP="00D057D5">
                  <w:pPr>
                    <w:widowControl/>
                    <w:wordWrap/>
                    <w:autoSpaceDE/>
                    <w:autoSpaceDN/>
                    <w:spacing w:line="240" w:lineRule="atLeast"/>
                    <w:jc w:val="left"/>
                    <w:rPr>
                      <w:rFonts w:ascii="나눔고딕" w:eastAsia="나눔고딕" w:hAnsi="나눔고딕" w:cs="Arial"/>
                      <w:color w:val="000000"/>
                      <w:szCs w:val="20"/>
                    </w:rPr>
                  </w:pPr>
                  <w:r w:rsidRPr="0008714C">
                    <w:rPr>
                      <w:rFonts w:ascii="나눔고딕" w:eastAsia="나눔고딕" w:hAnsi="나눔고딕" w:cs="Gulim"/>
                      <w:kern w:val="0"/>
                      <w:szCs w:val="20"/>
                    </w:rPr>
                    <w:t>•</w:t>
                  </w:r>
                  <w:r w:rsidRPr="0008714C">
                    <w:rPr>
                      <w:rFonts w:ascii="나눔고딕" w:eastAsia="나눔고딕" w:hAnsi="나눔고딕" w:cs="Arial"/>
                      <w:color w:val="000000"/>
                      <w:szCs w:val="20"/>
                    </w:rPr>
                    <w:t xml:space="preserve"> Extension </w:t>
                  </w:r>
                  <w:r w:rsidRPr="0008714C">
                    <w:rPr>
                      <w:rFonts w:ascii="나눔고딕" w:eastAsia="나눔고딕" w:hAnsi="나눔고딕" w:cs="Arial"/>
                      <w:color w:val="000000"/>
                      <w:szCs w:val="20"/>
                    </w:rPr>
                    <w:t>o</w:t>
                  </w:r>
                  <w:r>
                    <w:rPr>
                      <w:rFonts w:ascii="나눔고딕" w:eastAsia="나눔고딕" w:hAnsi="나눔고딕" w:cs="Arial"/>
                      <w:color w:val="000000"/>
                      <w:szCs w:val="20"/>
                    </w:rPr>
                    <w:t>n</w:t>
                  </w:r>
                  <w:r w:rsidRPr="0008714C">
                    <w:rPr>
                      <w:rFonts w:ascii="나눔고딕" w:eastAsia="나눔고딕" w:hAnsi="나눔고딕" w:cs="Arial"/>
                      <w:color w:val="000000"/>
                      <w:szCs w:val="20"/>
                    </w:rPr>
                    <w:t xml:space="preserve"> </w:t>
                  </w:r>
                  <w:r w:rsidRPr="0008714C">
                    <w:rPr>
                      <w:rFonts w:ascii="나눔고딕" w:eastAsia="나눔고딕" w:hAnsi="나눔고딕" w:cs="Arial"/>
                      <w:color w:val="000000"/>
                      <w:szCs w:val="20"/>
                    </w:rPr>
                    <w:t xml:space="preserve">the scope of membership - Insert “Mongolia” in Article 4 (Scope of membership) of the Charter </w:t>
                  </w:r>
                  <w:r w:rsidRPr="00A52CD6">
                    <w:rPr>
                      <w:rFonts w:ascii="나눔고딕" w:eastAsia="나눔고딕" w:hAnsi="나눔고딕" w:cs="Arial"/>
                      <w:color w:val="000000"/>
                      <w:szCs w:val="20"/>
                    </w:rPr>
                    <w:br/>
                  </w:r>
                  <w:r w:rsidRPr="0008714C">
                    <w:rPr>
                      <w:rFonts w:ascii="나눔고딕" w:eastAsia="나눔고딕" w:hAnsi="나눔고딕" w:cs="Gulim"/>
                      <w:kern w:val="0"/>
                      <w:szCs w:val="20"/>
                    </w:rPr>
                    <w:t xml:space="preserve">• </w:t>
                  </w:r>
                  <w:r w:rsidRPr="0008714C">
                    <w:rPr>
                      <w:rFonts w:ascii="나눔고딕" w:eastAsia="나눔고딕" w:hAnsi="나눔고딕" w:cs="Arial"/>
                      <w:color w:val="000000"/>
                      <w:szCs w:val="20"/>
                    </w:rPr>
                    <w:t>Establishment of five subcommittees</w:t>
                  </w:r>
                  <w:r>
                    <w:rPr>
                      <w:rFonts w:ascii="나눔고딕" w:eastAsia="나눔고딕" w:hAnsi="나눔고딕" w:cs="Arial"/>
                      <w:color w:val="000000"/>
                      <w:szCs w:val="20"/>
                    </w:rPr>
                    <w:t>:</w:t>
                  </w:r>
                  <w:r w:rsidRPr="0008714C">
                    <w:rPr>
                      <w:rFonts w:ascii="나눔고딕" w:eastAsia="나눔고딕" w:hAnsi="나눔고딕" w:cs="Arial"/>
                      <w:color w:val="000000"/>
                      <w:szCs w:val="20"/>
                    </w:rPr>
                    <w:t xml:space="preserve"> </w:t>
                  </w:r>
                  <w:r w:rsidRPr="0008714C">
                    <w:rPr>
                      <w:rFonts w:ascii="나눔고딕" w:eastAsia="나눔고딕" w:hAnsi="나눔고딕" w:cs="Arial"/>
                      <w:color w:val="000000"/>
                      <w:szCs w:val="20"/>
                    </w:rPr>
                    <w:t xml:space="preserve">namely economic commerce, cultural exchange, environment, disaster prevention, and general exchanges </w:t>
                  </w:r>
                  <w:r w:rsidRPr="00A52CD6">
                    <w:rPr>
                      <w:rFonts w:ascii="나눔고딕" w:eastAsia="나눔고딕" w:hAnsi="나눔고딕" w:cs="Arial"/>
                      <w:color w:val="000000"/>
                      <w:szCs w:val="20"/>
                    </w:rPr>
                    <w:br/>
                  </w:r>
                  <w:r w:rsidRPr="0008714C">
                    <w:rPr>
                      <w:rFonts w:ascii="나눔고딕" w:eastAsia="나눔고딕" w:hAnsi="나눔고딕" w:cs="Gulim"/>
                      <w:kern w:val="0"/>
                      <w:szCs w:val="20"/>
                    </w:rPr>
                    <w:t xml:space="preserve">• </w:t>
                  </w:r>
                  <w:r w:rsidRPr="0008714C">
                    <w:rPr>
                      <w:rFonts w:ascii="나눔고딕" w:eastAsia="나눔고딕" w:hAnsi="나눔고딕" w:cs="Arial"/>
                      <w:color w:val="000000"/>
                      <w:szCs w:val="20"/>
                    </w:rPr>
                    <w:t xml:space="preserve">New establishment of sections related to the Supporting Organization </w:t>
                  </w:r>
                  <w:r>
                    <w:rPr>
                      <w:rFonts w:ascii="나눔고딕" w:eastAsia="나눔고딕" w:hAnsi="나눔고딕" w:cs="Arial"/>
                      <w:color w:val="000000"/>
                      <w:szCs w:val="20"/>
                    </w:rPr>
                    <w:t>of</w:t>
                  </w:r>
                  <w:r w:rsidRPr="0008714C">
                    <w:rPr>
                      <w:rFonts w:ascii="나눔고딕" w:eastAsia="나눔고딕" w:hAnsi="나눔고딕" w:cs="Arial"/>
                      <w:color w:val="000000"/>
                      <w:szCs w:val="20"/>
                    </w:rPr>
                    <w:t xml:space="preserve"> </w:t>
                  </w:r>
                  <w:r w:rsidRPr="0008714C">
                    <w:rPr>
                      <w:rFonts w:ascii="나눔고딕" w:eastAsia="나눔고딕" w:hAnsi="나눔고딕" w:cs="Arial"/>
                      <w:color w:val="000000"/>
                      <w:szCs w:val="20"/>
                    </w:rPr>
                    <w:t>the Association</w:t>
                  </w:r>
                </w:p>
                <w:p w:rsidR="00D25CBD" w:rsidRPr="0008714C" w:rsidRDefault="00D25CBD" w:rsidP="00D057D5">
                  <w:pPr>
                    <w:rPr>
                      <w:rFonts w:ascii="나눔고딕" w:eastAsia="나눔고딕" w:hAnsi="나눔고딕"/>
                      <w:b/>
                      <w:szCs w:val="20"/>
                    </w:rPr>
                  </w:pPr>
                  <w:r w:rsidRPr="0008714C">
                    <w:rPr>
                      <w:rFonts w:ascii="나눔고딕" w:eastAsia="나눔고딕" w:hAnsi="나눔고딕" w:hint="eastAsia"/>
                      <w:b/>
                      <w:szCs w:val="20"/>
                    </w:rPr>
                    <w:t xml:space="preserve">▷ </w:t>
                  </w:r>
                  <w:r w:rsidRPr="0008714C">
                    <w:rPr>
                      <w:rFonts w:ascii="나눔고딕" w:eastAsia="나눔고딕" w:hAnsi="나눔고딕" w:cs="Arial"/>
                      <w:b/>
                      <w:color w:val="000000"/>
                      <w:szCs w:val="20"/>
                    </w:rPr>
                    <w:t>Preparation of ”Rules on the establishment and operation of a subcommittee”, and</w:t>
                  </w:r>
                </w:p>
                <w:p w:rsidR="00D25CBD" w:rsidRPr="0008714C" w:rsidRDefault="00D25CBD" w:rsidP="00D057D5">
                  <w:pPr>
                    <w:rPr>
                      <w:rFonts w:ascii="나눔고딕" w:eastAsia="나눔고딕" w:hAnsi="나눔고딕"/>
                      <w:b/>
                      <w:bCs/>
                      <w:szCs w:val="20"/>
                    </w:rPr>
                  </w:pPr>
                  <w:r w:rsidRPr="0008714C">
                    <w:rPr>
                      <w:rFonts w:ascii="나눔고딕" w:eastAsia="나눔고딕" w:hAnsi="나눔고딕" w:hint="eastAsia"/>
                      <w:b/>
                      <w:szCs w:val="20"/>
                    </w:rPr>
                    <w:t xml:space="preserve">▷ </w:t>
                  </w:r>
                  <w:r w:rsidRPr="0008714C">
                    <w:rPr>
                      <w:rFonts w:ascii="나눔고딕" w:eastAsia="나눔고딕" w:hAnsi="나눔고딕" w:cs="Arial"/>
                      <w:b/>
                      <w:color w:val="000000"/>
                      <w:szCs w:val="20"/>
                    </w:rPr>
                    <w:t xml:space="preserve">Determined </w:t>
                  </w:r>
                  <w:r>
                    <w:rPr>
                      <w:rFonts w:ascii="나눔고딕" w:eastAsia="나눔고딕" w:hAnsi="나눔고딕" w:cs="Arial"/>
                      <w:b/>
                      <w:color w:val="000000"/>
                      <w:szCs w:val="20"/>
                    </w:rPr>
                    <w:t xml:space="preserve">the </w:t>
                  </w:r>
                  <w:r w:rsidRPr="0008714C">
                    <w:rPr>
                      <w:rFonts w:ascii="나눔고딕" w:eastAsia="나눔고딕" w:hAnsi="나눔고딕" w:cs="Arial"/>
                      <w:b/>
                      <w:color w:val="000000"/>
                      <w:szCs w:val="20"/>
                    </w:rPr>
                    <w:t>Hyogo Prefecture, Japan as the venue for the 2000 General Assembly</w:t>
                  </w:r>
                </w:p>
              </w:tc>
            </w:tr>
          </w:tbl>
          <w:p w:rsidR="00D25CBD" w:rsidRPr="00A52CD6" w:rsidRDefault="00D25CBD" w:rsidP="00D057D5">
            <w:pPr>
              <w:rPr>
                <w:rFonts w:ascii="나눔고딕" w:eastAsia="나눔고딕" w:hAnsi="나눔고딕"/>
                <w:color w:val="auto"/>
                <w:szCs w:val="20"/>
              </w:rPr>
            </w:pPr>
          </w:p>
        </w:tc>
      </w:tr>
    </w:tbl>
    <w:p w:rsidR="00D25CBD" w:rsidRPr="00A52CD6" w:rsidRDefault="00D25CBD" w:rsidP="00D25CBD">
      <w:pPr>
        <w:rPr>
          <w:rFonts w:ascii="나눔고딕" w:eastAsia="나눔고딕" w:hAnsi="나눔고딕"/>
          <w:szCs w:val="20"/>
        </w:rPr>
      </w:pPr>
    </w:p>
    <w:p w:rsidR="00D25CBD" w:rsidRPr="0008714C" w:rsidRDefault="00D25CBD" w:rsidP="00D25CBD">
      <w:pPr>
        <w:pStyle w:val="ListParagraph"/>
        <w:numPr>
          <w:ilvl w:val="0"/>
          <w:numId w:val="1"/>
        </w:numPr>
        <w:ind w:leftChars="0"/>
        <w:rPr>
          <w:rFonts w:ascii="나눔고딕" w:eastAsia="나눔고딕" w:hAnsi="나눔고딕"/>
          <w:szCs w:val="20"/>
        </w:rPr>
      </w:pPr>
      <w:r w:rsidRPr="0008714C">
        <w:rPr>
          <w:rFonts w:ascii="나눔고딕" w:eastAsia="나눔고딕" w:hAnsi="나눔고딕" w:cs="Arial"/>
          <w:b/>
          <w:bCs/>
          <w:color w:val="000000"/>
          <w:szCs w:val="20"/>
        </w:rPr>
        <w:t>Toyama Declaration '98</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 xml:space="preserve">1. Related self-governing organizations from China, Japan, Korea, Mongolia, and Russia gathered in Toyama, Japan on October 21, 1998, and </w:t>
      </w:r>
      <w:r>
        <w:rPr>
          <w:rFonts w:ascii="나눔고딕" w:eastAsia="나눔고딕" w:hAnsi="나눔고딕"/>
          <w:szCs w:val="20"/>
        </w:rPr>
        <w:t>conducted</w:t>
      </w:r>
      <w:r w:rsidRPr="0008714C">
        <w:rPr>
          <w:rFonts w:ascii="나눔고딕" w:eastAsia="나눔고딕" w:hAnsi="나눔고딕"/>
          <w:szCs w:val="20"/>
        </w:rPr>
        <w:t xml:space="preserve"> </w:t>
      </w:r>
      <w:r w:rsidRPr="0008714C">
        <w:rPr>
          <w:rFonts w:ascii="나눔고딕" w:eastAsia="나눔고딕" w:hAnsi="나눔고딕"/>
          <w:szCs w:val="20"/>
        </w:rPr>
        <w:t xml:space="preserve">the "1998 Northeast Asian Region Self-Governing Organizations Conference." The Self-Governing Organizations Conference was the first conference since the establishment of the Northeast Asian Region Self-Governing Organizations Conference (hereinafter, "Association"). The participants exchanged constructive opinions and made agreements on </w:t>
      </w:r>
      <w:r>
        <w:rPr>
          <w:rFonts w:ascii="나눔고딕" w:eastAsia="나눔고딕" w:hAnsi="나눔고딕"/>
          <w:szCs w:val="20"/>
        </w:rPr>
        <w:t xml:space="preserve">the </w:t>
      </w:r>
      <w:r w:rsidRPr="0008714C">
        <w:rPr>
          <w:rFonts w:ascii="나눔고딕" w:eastAsia="나눔고딕" w:hAnsi="나눔고딕"/>
          <w:szCs w:val="20"/>
        </w:rPr>
        <w:t xml:space="preserve">issues including economic trade, cultural exchange, environment, and disaster prevention for growth and peace in the Northeast Asian region amid difficult crises. Participants also </w:t>
      </w:r>
      <w:r w:rsidRPr="0008714C">
        <w:rPr>
          <w:rFonts w:ascii="나눔고딕" w:eastAsia="나눔고딕" w:hAnsi="나눔고딕"/>
          <w:szCs w:val="20"/>
        </w:rPr>
        <w:lastRenderedPageBreak/>
        <w:t xml:space="preserve">assessed the Association's prior activities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2. Since almost all areas, including economy, information, and environment, is current</w:t>
      </w:r>
      <w:r>
        <w:rPr>
          <w:rFonts w:ascii="나눔고딕" w:eastAsia="나눔고딕" w:hAnsi="나눔고딕"/>
          <w:szCs w:val="20"/>
        </w:rPr>
        <w:t>ly</w:t>
      </w:r>
      <w:r w:rsidRPr="0008714C">
        <w:rPr>
          <w:rFonts w:ascii="나눔고딕" w:eastAsia="나눔고딕" w:hAnsi="나눔고딕"/>
          <w:szCs w:val="20"/>
        </w:rPr>
        <w:t xml:space="preserve"> globalized, it will be very important to further deepen </w:t>
      </w:r>
      <w:r>
        <w:rPr>
          <w:rFonts w:ascii="나눔고딕" w:eastAsia="나눔고딕" w:hAnsi="나눔고딕"/>
          <w:szCs w:val="20"/>
        </w:rPr>
        <w:t xml:space="preserve">the </w:t>
      </w:r>
      <w:r w:rsidRPr="0008714C">
        <w:rPr>
          <w:rFonts w:ascii="나눔고딕" w:eastAsia="나눔고딕" w:hAnsi="나눔고딕"/>
          <w:szCs w:val="20"/>
        </w:rPr>
        <w:t xml:space="preserve">collaboration and exchange among regions. Cultivation of multi-faceted attractiveness, in fortified infrastructures for </w:t>
      </w:r>
      <w:r>
        <w:rPr>
          <w:rFonts w:ascii="나눔고딕" w:eastAsia="나눔고딕" w:hAnsi="나눔고딕"/>
          <w:szCs w:val="20"/>
        </w:rPr>
        <w:t xml:space="preserve">the </w:t>
      </w:r>
      <w:r w:rsidRPr="0008714C">
        <w:rPr>
          <w:rFonts w:ascii="나눔고딕" w:eastAsia="나눔고딕" w:hAnsi="나눔고딕"/>
          <w:szCs w:val="20"/>
        </w:rPr>
        <w:t xml:space="preserve">production and exchange such as harbors and airports, and the abundance of life environment or culture, are essential for </w:t>
      </w:r>
      <w:r>
        <w:rPr>
          <w:rFonts w:ascii="나눔고딕" w:eastAsia="나눔고딕" w:hAnsi="나눔고딕"/>
          <w:szCs w:val="20"/>
        </w:rPr>
        <w:t xml:space="preserve">the </w:t>
      </w:r>
      <w:r w:rsidRPr="0008714C">
        <w:rPr>
          <w:rFonts w:ascii="나눔고딕" w:eastAsia="나눔고딕" w:hAnsi="나눔고딕"/>
          <w:szCs w:val="20"/>
        </w:rPr>
        <w:t>autonomous development and stabilization of this region. The participants shared the same awareness of the need to pursue better development and stability in</w:t>
      </w:r>
      <w:r w:rsidRPr="0008714C">
        <w:rPr>
          <w:rFonts w:ascii="나눔고딕" w:eastAsia="나눔고딕" w:hAnsi="나눔고딕"/>
          <w:szCs w:val="20"/>
        </w:rPr>
        <w:t xml:space="preserve"> </w:t>
      </w:r>
      <w:r w:rsidRPr="0008714C">
        <w:rPr>
          <w:rFonts w:ascii="나눔고딕" w:eastAsia="나눔고딕" w:hAnsi="나눔고딕"/>
          <w:szCs w:val="20"/>
        </w:rPr>
        <w:t xml:space="preserve">this region by creating diverse networks on the ground of exchanges and collaborations that each self-governing organization of the Northeast Asian </w:t>
      </w:r>
      <w:r>
        <w:rPr>
          <w:rFonts w:ascii="나눔고딕" w:eastAsia="나눔고딕" w:hAnsi="나눔고딕"/>
          <w:szCs w:val="20"/>
        </w:rPr>
        <w:t>R</w:t>
      </w:r>
      <w:r w:rsidRPr="0008714C">
        <w:rPr>
          <w:rFonts w:ascii="나눔고딕" w:eastAsia="나눔고딕" w:hAnsi="나눔고딕"/>
          <w:szCs w:val="20"/>
        </w:rPr>
        <w:t xml:space="preserve">egion </w:t>
      </w:r>
      <w:r w:rsidRPr="0008714C">
        <w:rPr>
          <w:rFonts w:ascii="나눔고딕" w:eastAsia="나눔고딕" w:hAnsi="나눔고딕"/>
          <w:szCs w:val="20"/>
        </w:rPr>
        <w:t>has accumulated over time, and they reorganized a system in the pursuit of various exchange and collaborative programs.</w:t>
      </w: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 xml:space="preserve">3. While upholding such a shared awareness, and </w:t>
      </w:r>
      <w:r>
        <w:rPr>
          <w:rFonts w:ascii="나눔고딕" w:eastAsia="나눔고딕" w:hAnsi="나눔고딕"/>
          <w:szCs w:val="20"/>
        </w:rPr>
        <w:t xml:space="preserve">the </w:t>
      </w:r>
      <w:r w:rsidRPr="0008714C">
        <w:rPr>
          <w:rFonts w:ascii="나눔고딕" w:eastAsia="나눔고딕" w:hAnsi="나눔고딕"/>
          <w:szCs w:val="20"/>
        </w:rPr>
        <w:t>spirit of the "1993 Shimane Conference," "1994 Hyogo Conference," "1995 Khabarovsk Conference," and "1996 Gyeongsangbuk-do Conference," the participants agreed to the following on the basis of performance of the Association founded in Gyeongsangbuk-do, revised the Charter of the Association, and confirmed the agreement to continually exert efforts for the realization of their goals.</w:t>
      </w: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 xml:space="preserve">(1) In order to expand membership in the Association and to consolidate the Association, Mongolia and other countries in the Northeast Asian </w:t>
      </w:r>
      <w:r>
        <w:rPr>
          <w:rFonts w:ascii="나눔고딕" w:eastAsia="나눔고딕" w:hAnsi="나눔고딕"/>
          <w:szCs w:val="20"/>
        </w:rPr>
        <w:t>R</w:t>
      </w:r>
      <w:r w:rsidRPr="0008714C">
        <w:rPr>
          <w:rFonts w:ascii="나눔고딕" w:eastAsia="나눔고딕" w:hAnsi="나눔고딕"/>
          <w:szCs w:val="20"/>
        </w:rPr>
        <w:t xml:space="preserve">egion </w:t>
      </w:r>
      <w:r w:rsidRPr="0008714C">
        <w:rPr>
          <w:rFonts w:ascii="나눔고딕" w:eastAsia="나눔고딕" w:hAnsi="나눔고딕"/>
          <w:szCs w:val="20"/>
        </w:rPr>
        <w:t>might participate in the Association, and the participation of the central province of Mongolia would be welcomed. In addition, self-governing organizations in Russia and Korea voiced opinions that</w:t>
      </w:r>
      <w:r>
        <w:rPr>
          <w:rFonts w:ascii="나눔고딕" w:eastAsia="나눔고딕" w:hAnsi="나눔고딕"/>
          <w:szCs w:val="20"/>
        </w:rPr>
        <w:t xml:space="preserve"> the</w:t>
      </w:r>
      <w:r w:rsidRPr="0008714C">
        <w:rPr>
          <w:rFonts w:ascii="나눔고딕" w:eastAsia="나눔고딕" w:hAnsi="나눔고딕"/>
          <w:szCs w:val="20"/>
        </w:rPr>
        <w:t xml:space="preserve"> self-governing organizations </w:t>
      </w:r>
      <w:r w:rsidRPr="0008714C">
        <w:rPr>
          <w:rFonts w:ascii="나눔고딕" w:eastAsia="나눔고딕" w:hAnsi="나눔고딕"/>
          <w:szCs w:val="20"/>
        </w:rPr>
        <w:t>sh</w:t>
      </w:r>
      <w:r>
        <w:rPr>
          <w:rFonts w:ascii="나눔고딕" w:eastAsia="나눔고딕" w:hAnsi="나눔고딕"/>
          <w:szCs w:val="20"/>
        </w:rPr>
        <w:t>all</w:t>
      </w:r>
      <w:r w:rsidRPr="0008714C">
        <w:rPr>
          <w:rFonts w:ascii="나눔고딕" w:eastAsia="나눔고딕" w:hAnsi="나눔고딕"/>
          <w:szCs w:val="20"/>
        </w:rPr>
        <w:t xml:space="preserve"> </w:t>
      </w:r>
      <w:r w:rsidRPr="0008714C">
        <w:rPr>
          <w:rFonts w:ascii="나눔고딕" w:eastAsia="나눔고딕" w:hAnsi="나눔고딕"/>
          <w:szCs w:val="20"/>
        </w:rPr>
        <w:t>continue to make efforts for the participation of North Korea.</w:t>
      </w: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(2) Each sector shall establish the following subcommittees for making </w:t>
      </w:r>
      <w:r>
        <w:rPr>
          <w:rFonts w:ascii="나눔고딕" w:eastAsia="나눔고딕" w:hAnsi="나눔고딕"/>
          <w:szCs w:val="20"/>
        </w:rPr>
        <w:t xml:space="preserve">all </w:t>
      </w:r>
      <w:r w:rsidRPr="0008714C">
        <w:rPr>
          <w:rFonts w:ascii="나눔고딕" w:eastAsia="나눔고딕" w:hAnsi="나눔고딕"/>
          <w:szCs w:val="20"/>
        </w:rPr>
        <w:t>concrete projects proposed at</w:t>
      </w:r>
      <w:r w:rsidRPr="0008714C">
        <w:rPr>
          <w:rFonts w:ascii="나눔고딕" w:eastAsia="나눔고딕" w:hAnsi="나눔고딕"/>
          <w:szCs w:val="20"/>
        </w:rPr>
        <w:t xml:space="preserve"> </w:t>
      </w:r>
      <w:r w:rsidRPr="0008714C">
        <w:rPr>
          <w:rFonts w:ascii="나눔고딕" w:eastAsia="나눔고딕" w:hAnsi="나눔고딕"/>
          <w:szCs w:val="20"/>
        </w:rPr>
        <w:t xml:space="preserve">the conference of the self-governing organizations, effectively promoting them, and prompting allied collaboration and exchange programs among self-governing organizations.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 - Economy &amp; Trade Subcommittee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 Cultural Exchange Subcommittee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 Environment Exchange Subcommittee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 Disaster Prevention Subcommittee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 General Exchange Subcommittee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(3) When organizations aim </w:t>
      </w:r>
      <w:r>
        <w:rPr>
          <w:rFonts w:ascii="나눔고딕" w:eastAsia="나눔고딕" w:hAnsi="나눔고딕"/>
          <w:szCs w:val="20"/>
        </w:rPr>
        <w:t xml:space="preserve">for </w:t>
      </w:r>
      <w:r w:rsidRPr="0008714C">
        <w:rPr>
          <w:rFonts w:ascii="나눔고딕" w:eastAsia="나눔고딕" w:hAnsi="나눔고딕"/>
          <w:szCs w:val="20"/>
        </w:rPr>
        <w:t xml:space="preserve">the development of the North Asian </w:t>
      </w:r>
      <w:r>
        <w:rPr>
          <w:rFonts w:ascii="나눔고딕" w:eastAsia="나눔고딕" w:hAnsi="나눔고딕"/>
          <w:szCs w:val="20"/>
        </w:rPr>
        <w:t>R</w:t>
      </w:r>
      <w:r w:rsidRPr="0008714C">
        <w:rPr>
          <w:rFonts w:ascii="나눔고딕" w:eastAsia="나눔고딕" w:hAnsi="나눔고딕"/>
          <w:szCs w:val="20"/>
        </w:rPr>
        <w:t xml:space="preserve">egion </w:t>
      </w:r>
      <w:r>
        <w:rPr>
          <w:rFonts w:ascii="나눔고딕" w:eastAsia="나눔고딕" w:hAnsi="나눔고딕"/>
          <w:szCs w:val="20"/>
        </w:rPr>
        <w:t xml:space="preserve">that </w:t>
      </w:r>
      <w:r w:rsidRPr="0008714C">
        <w:rPr>
          <w:rFonts w:ascii="나눔고딕" w:eastAsia="나눔고딕" w:hAnsi="나눔고딕"/>
          <w:szCs w:val="20"/>
        </w:rPr>
        <w:t xml:space="preserve">are established, the participating self-governing organizations of the Association shall pursue the reinforcement </w:t>
      </w:r>
      <w:r w:rsidRPr="0008714C">
        <w:rPr>
          <w:rFonts w:ascii="나눔고딕" w:eastAsia="나눔고딕" w:hAnsi="나눔고딕"/>
          <w:szCs w:val="20"/>
        </w:rPr>
        <w:t>o</w:t>
      </w:r>
      <w:r>
        <w:rPr>
          <w:rFonts w:ascii="나눔고딕" w:eastAsia="나눔고딕" w:hAnsi="나눔고딕"/>
          <w:szCs w:val="20"/>
        </w:rPr>
        <w:t>n the</w:t>
      </w:r>
      <w:r w:rsidRPr="0008714C">
        <w:rPr>
          <w:rFonts w:ascii="나눔고딕" w:eastAsia="나눔고딕" w:hAnsi="나눔고딕"/>
          <w:szCs w:val="20"/>
        </w:rPr>
        <w:t xml:space="preserve"> </w:t>
      </w:r>
      <w:r w:rsidRPr="0008714C">
        <w:rPr>
          <w:rFonts w:ascii="나눔고딕" w:eastAsia="나눔고딕" w:hAnsi="나눔고딕"/>
          <w:szCs w:val="20"/>
        </w:rPr>
        <w:t xml:space="preserve">functions of the Association while allowing the new organizations to be registered as "Association Support Organizations (Association Centers, etc.)."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lastRenderedPageBreak/>
        <w:t xml:space="preserve"> </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 xml:space="preserve">4. Participants shared the same awareness as follows based on </w:t>
      </w:r>
      <w:r>
        <w:rPr>
          <w:rFonts w:ascii="나눔고딕" w:eastAsia="나눔고딕" w:hAnsi="나눔고딕"/>
          <w:szCs w:val="20"/>
        </w:rPr>
        <w:t xml:space="preserve">the </w:t>
      </w:r>
      <w:r w:rsidRPr="0008714C">
        <w:rPr>
          <w:rFonts w:ascii="나눔고딕" w:eastAsia="나눔고딕" w:hAnsi="나눔고딕"/>
          <w:szCs w:val="20"/>
        </w:rPr>
        <w:t xml:space="preserve">proposals from each self- governing organization, and confirmed intention to review and discuss the ability to realize or develop concrete measures </w:t>
      </w:r>
      <w:r>
        <w:rPr>
          <w:rFonts w:ascii="나눔고딕" w:eastAsia="나눔고딕" w:hAnsi="나눔고딕"/>
          <w:szCs w:val="20"/>
        </w:rPr>
        <w:t>in</w:t>
      </w:r>
      <w:r w:rsidRPr="0008714C">
        <w:rPr>
          <w:rFonts w:ascii="나눔고딕" w:eastAsia="나눔고딕" w:hAnsi="나눔고딕"/>
          <w:szCs w:val="20"/>
        </w:rPr>
        <w:t xml:space="preserve"> </w:t>
      </w:r>
      <w:r w:rsidRPr="0008714C">
        <w:rPr>
          <w:rFonts w:ascii="나눔고딕" w:eastAsia="나눔고딕" w:hAnsi="나눔고딕"/>
          <w:szCs w:val="20"/>
        </w:rPr>
        <w:t>the pursuit of each project by the Working Committee or the Subcommittee.</w:t>
      </w: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(1) To contribute </w:t>
      </w:r>
      <w:r>
        <w:rPr>
          <w:rFonts w:ascii="나눔고딕" w:eastAsia="나눔고딕" w:hAnsi="나눔고딕"/>
          <w:szCs w:val="20"/>
        </w:rPr>
        <w:t>a</w:t>
      </w:r>
      <w:r w:rsidRPr="0008714C">
        <w:rPr>
          <w:rFonts w:ascii="나눔고딕" w:eastAsia="나눔고딕" w:hAnsi="나눔고딕"/>
          <w:szCs w:val="20"/>
        </w:rPr>
        <w:t xml:space="preserve"> </w:t>
      </w:r>
      <w:r w:rsidRPr="0008714C">
        <w:rPr>
          <w:rFonts w:ascii="나눔고딕" w:eastAsia="나눔고딕" w:hAnsi="나눔고딕"/>
          <w:szCs w:val="20"/>
        </w:rPr>
        <w:t xml:space="preserve">sustainable growth of the Northeast Asian </w:t>
      </w:r>
      <w:r>
        <w:rPr>
          <w:rFonts w:ascii="나눔고딕" w:eastAsia="나눔고딕" w:hAnsi="나눔고딕"/>
          <w:szCs w:val="20"/>
        </w:rPr>
        <w:t>R</w:t>
      </w:r>
      <w:r w:rsidRPr="0008714C">
        <w:rPr>
          <w:rFonts w:ascii="나눔고딕" w:eastAsia="나눔고딕" w:hAnsi="나눔고딕"/>
          <w:szCs w:val="20"/>
        </w:rPr>
        <w:t>egion</w:t>
      </w:r>
      <w:r w:rsidRPr="0008714C">
        <w:rPr>
          <w:rFonts w:ascii="나눔고딕" w:eastAsia="나눔고딕" w:hAnsi="나눔고딕"/>
          <w:szCs w:val="20"/>
        </w:rPr>
        <w:t xml:space="preserve">, members would strive to make available consultations, product exhibitions, the introduction of an investment environment, offering of space for sightseeing PR, and </w:t>
      </w:r>
      <w:r>
        <w:rPr>
          <w:rFonts w:ascii="나눔고딕" w:eastAsia="나눔고딕" w:hAnsi="나눔고딕"/>
          <w:szCs w:val="20"/>
        </w:rPr>
        <w:t xml:space="preserve">the </w:t>
      </w:r>
      <w:r w:rsidRPr="0008714C">
        <w:rPr>
          <w:rFonts w:ascii="나눔고딕" w:eastAsia="나눔고딕" w:hAnsi="나눔고딕"/>
          <w:szCs w:val="20"/>
        </w:rPr>
        <w:t xml:space="preserve">exchange of information; along with the pursuit of allied collaboration emphasizing the nature of mutual complement in the field of economic trade, such as the facilitation of commerce, technology exchange, and encouragement of corporate training.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 xml:space="preserve">(2) </w:t>
      </w:r>
      <w:r>
        <w:rPr>
          <w:rFonts w:ascii="나눔고딕" w:eastAsia="나눔고딕" w:hAnsi="나눔고딕"/>
          <w:szCs w:val="20"/>
        </w:rPr>
        <w:t>To</w:t>
      </w:r>
      <w:r w:rsidRPr="0008714C">
        <w:rPr>
          <w:rFonts w:ascii="나눔고딕" w:eastAsia="나눔고딕" w:hAnsi="나눔고딕"/>
          <w:szCs w:val="20"/>
        </w:rPr>
        <w:t xml:space="preserve"> </w:t>
      </w:r>
      <w:r w:rsidRPr="0008714C">
        <w:rPr>
          <w:rFonts w:ascii="나눔고딕" w:eastAsia="나눔고딕" w:hAnsi="나눔고딕"/>
          <w:szCs w:val="20"/>
        </w:rPr>
        <w:t xml:space="preserve">overcome </w:t>
      </w:r>
      <w:r>
        <w:rPr>
          <w:rFonts w:ascii="나눔고딕" w:eastAsia="나눔고딕" w:hAnsi="나눔고딕"/>
          <w:szCs w:val="20"/>
        </w:rPr>
        <w:t>the</w:t>
      </w:r>
      <w:r w:rsidRPr="0008714C">
        <w:rPr>
          <w:rFonts w:ascii="나눔고딕" w:eastAsia="나눔고딕" w:hAnsi="나눔고딕"/>
          <w:szCs w:val="20"/>
        </w:rPr>
        <w:t xml:space="preserve"> </w:t>
      </w:r>
      <w:r w:rsidRPr="0008714C">
        <w:rPr>
          <w:rFonts w:ascii="나눔고딕" w:eastAsia="나눔고딕" w:hAnsi="나눔고딕"/>
          <w:szCs w:val="20"/>
        </w:rPr>
        <w:t xml:space="preserve">environmental problems, such as global warming and marine pollution, is a common problem needed to solve for mankind. Each self-governing organization shall pursue </w:t>
      </w:r>
      <w:r>
        <w:rPr>
          <w:rFonts w:ascii="나눔고딕" w:eastAsia="나눔고딕" w:hAnsi="나눔고딕"/>
          <w:szCs w:val="20"/>
        </w:rPr>
        <w:t xml:space="preserve">an </w:t>
      </w:r>
      <w:r w:rsidRPr="0008714C">
        <w:rPr>
          <w:rFonts w:ascii="나눔고딕" w:eastAsia="나눔고딕" w:hAnsi="나눔고딕"/>
          <w:szCs w:val="20"/>
        </w:rPr>
        <w:t xml:space="preserve">environment collaborative program in accordance with each character of the organization. In addition, each will fortify </w:t>
      </w:r>
      <w:r>
        <w:rPr>
          <w:rFonts w:ascii="나눔고딕" w:eastAsia="나눔고딕" w:hAnsi="나눔고딕"/>
          <w:szCs w:val="20"/>
        </w:rPr>
        <w:t xml:space="preserve">a </w:t>
      </w:r>
      <w:r w:rsidRPr="0008714C">
        <w:rPr>
          <w:rFonts w:ascii="나눔고딕" w:eastAsia="나눔고딕" w:hAnsi="나눔고딕"/>
          <w:szCs w:val="20"/>
        </w:rPr>
        <w:t xml:space="preserve">collective </w:t>
      </w:r>
      <w:r>
        <w:rPr>
          <w:rFonts w:ascii="나눔고딕" w:eastAsia="나눔고딕" w:hAnsi="나눔고딕"/>
          <w:szCs w:val="20"/>
        </w:rPr>
        <w:t xml:space="preserve">and </w:t>
      </w:r>
      <w:r w:rsidRPr="0008714C">
        <w:rPr>
          <w:rFonts w:ascii="나눔고딕" w:eastAsia="나눔고딕" w:hAnsi="나눔고딕"/>
          <w:szCs w:val="20"/>
        </w:rPr>
        <w:t xml:space="preserve">collaborative relationship among self-governing organizations for the preservation of the whole environment in the Northeast Asian </w:t>
      </w:r>
      <w:r>
        <w:rPr>
          <w:rFonts w:ascii="나눔고딕" w:eastAsia="나눔고딕" w:hAnsi="나눔고딕"/>
          <w:szCs w:val="20"/>
        </w:rPr>
        <w:t>R</w:t>
      </w:r>
      <w:r w:rsidRPr="0008714C">
        <w:rPr>
          <w:rFonts w:ascii="나눔고딕" w:eastAsia="나눔고딕" w:hAnsi="나눔고딕"/>
          <w:szCs w:val="20"/>
        </w:rPr>
        <w:t xml:space="preserve">egion </w:t>
      </w:r>
      <w:r>
        <w:rPr>
          <w:rFonts w:ascii="나눔고딕" w:eastAsia="나눔고딕" w:hAnsi="나눔고딕"/>
          <w:szCs w:val="20"/>
        </w:rPr>
        <w:t>for</w:t>
      </w:r>
      <w:r w:rsidRPr="0008714C">
        <w:rPr>
          <w:rFonts w:ascii="나눔고딕" w:eastAsia="나눔고딕" w:hAnsi="나눔고딕"/>
          <w:szCs w:val="20"/>
        </w:rPr>
        <w:t xml:space="preserve"> </w:t>
      </w:r>
      <w:r w:rsidRPr="0008714C">
        <w:rPr>
          <w:rFonts w:ascii="나눔고딕" w:eastAsia="나눔고딕" w:hAnsi="나눔고딕"/>
          <w:szCs w:val="20"/>
        </w:rPr>
        <w:t>the execution of diverse collective research, information exchange, and exchange of researchers.</w:t>
      </w: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(3) In order to deepen </w:t>
      </w:r>
      <w:r>
        <w:rPr>
          <w:rFonts w:ascii="나눔고딕" w:eastAsia="나눔고딕" w:hAnsi="나눔고딕"/>
          <w:szCs w:val="20"/>
        </w:rPr>
        <w:t xml:space="preserve">the </w:t>
      </w:r>
      <w:r w:rsidRPr="0008714C">
        <w:rPr>
          <w:rFonts w:ascii="나눔고딕" w:eastAsia="나눔고딕" w:hAnsi="나눔고딕"/>
          <w:szCs w:val="20"/>
        </w:rPr>
        <w:t xml:space="preserve">mutual understanding in the Northeast Asian </w:t>
      </w:r>
      <w:r>
        <w:rPr>
          <w:rFonts w:ascii="나눔고딕" w:eastAsia="나눔고딕" w:hAnsi="나눔고딕"/>
          <w:szCs w:val="20"/>
        </w:rPr>
        <w:t>R</w:t>
      </w:r>
      <w:r w:rsidRPr="0008714C">
        <w:rPr>
          <w:rFonts w:ascii="나눔고딕" w:eastAsia="나눔고딕" w:hAnsi="나눔고딕"/>
          <w:szCs w:val="20"/>
        </w:rPr>
        <w:t>egion</w:t>
      </w:r>
      <w:r w:rsidRPr="0008714C">
        <w:rPr>
          <w:rFonts w:ascii="나눔고딕" w:eastAsia="나눔고딕" w:hAnsi="나눔고딕"/>
          <w:szCs w:val="20"/>
        </w:rPr>
        <w:t xml:space="preserve">, where diverse cultural life patterns are preserved, each self-governing organization shall participate in or support </w:t>
      </w:r>
      <w:r>
        <w:rPr>
          <w:rFonts w:ascii="나눔고딕" w:eastAsia="나눔고딕" w:hAnsi="나눔고딕"/>
          <w:szCs w:val="20"/>
        </w:rPr>
        <w:t xml:space="preserve">the </w:t>
      </w:r>
      <w:r w:rsidRPr="0008714C">
        <w:rPr>
          <w:rFonts w:ascii="나눔고딕" w:eastAsia="나눔고딕" w:hAnsi="나눔고딕"/>
          <w:szCs w:val="20"/>
        </w:rPr>
        <w:t xml:space="preserve">culture and the academy-related exchange programs with </w:t>
      </w:r>
      <w:r>
        <w:rPr>
          <w:rFonts w:ascii="나눔고딕" w:eastAsia="나눔고딕" w:hAnsi="나눔고딕"/>
          <w:szCs w:val="20"/>
        </w:rPr>
        <w:t xml:space="preserve">the </w:t>
      </w:r>
      <w:r w:rsidRPr="0008714C">
        <w:rPr>
          <w:rFonts w:ascii="나눔고딕" w:eastAsia="나눔고딕" w:hAnsi="나눔고딕"/>
          <w:szCs w:val="20"/>
        </w:rPr>
        <w:t xml:space="preserve">international purport if possible, and thus promote exchange and collaborations in </w:t>
      </w:r>
      <w:r>
        <w:rPr>
          <w:rFonts w:ascii="나눔고딕" w:eastAsia="나눔고딕" w:hAnsi="나눔고딕"/>
          <w:szCs w:val="20"/>
        </w:rPr>
        <w:t xml:space="preserve">the </w:t>
      </w:r>
      <w:r w:rsidRPr="0008714C">
        <w:rPr>
          <w:rFonts w:ascii="나눔고딕" w:eastAsia="나눔고딕" w:hAnsi="나눔고딕"/>
          <w:szCs w:val="20"/>
        </w:rPr>
        <w:t xml:space="preserve">cultural and academic aspects.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08714C" w:rsidRDefault="00D25CBD" w:rsidP="00D25CBD">
      <w:pPr>
        <w:rPr>
          <w:rFonts w:ascii="나눔고딕" w:eastAsia="나눔고딕" w:hAnsi="나눔고딕"/>
          <w:szCs w:val="20"/>
        </w:rPr>
      </w:pPr>
      <w:r w:rsidRPr="0008714C">
        <w:rPr>
          <w:rFonts w:ascii="나눔고딕" w:eastAsia="나눔고딕" w:hAnsi="나눔고딕"/>
          <w:szCs w:val="20"/>
        </w:rPr>
        <w:t xml:space="preserve">(4) To reduce damage from earthquakes, floods, and forest fires, the possibility of information exchange on a disaster prevention system, such as the utilization of volunteers for disaster, and exchange of human resources, such as exchange of persons concerned in the medical sector, shall be reviewed along with the usability of disaster prevention tools and devices.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 xml:space="preserve">5. In addition, we offer our condolences to every resident and self-governing organization that are victims of the big flood in the Northeast Asian </w:t>
      </w:r>
      <w:r>
        <w:rPr>
          <w:rFonts w:ascii="나눔고딕" w:eastAsia="나눔고딕" w:hAnsi="나눔고딕"/>
          <w:szCs w:val="20"/>
        </w:rPr>
        <w:t>R</w:t>
      </w:r>
      <w:r w:rsidRPr="0008714C">
        <w:rPr>
          <w:rFonts w:ascii="나눔고딕" w:eastAsia="나눔고딕" w:hAnsi="나눔고딕"/>
          <w:szCs w:val="20"/>
        </w:rPr>
        <w:t>egion</w:t>
      </w:r>
      <w:r w:rsidRPr="0008714C">
        <w:rPr>
          <w:rFonts w:ascii="나눔고딕" w:eastAsia="나눔고딕" w:hAnsi="나눔고딕"/>
          <w:szCs w:val="20"/>
        </w:rPr>
        <w:t>, and wish for their fast recovery.</w:t>
      </w: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A52CD6">
        <w:rPr>
          <w:rFonts w:ascii="나눔고딕" w:eastAsia="나눔고딕" w:hAnsi="나눔고딕"/>
          <w:szCs w:val="20"/>
        </w:rPr>
        <w:t xml:space="preserve"> </w:t>
      </w:r>
    </w:p>
    <w:p w:rsidR="00D25CBD" w:rsidRPr="00A52CD6" w:rsidRDefault="00D25CBD" w:rsidP="00D25CBD">
      <w:pPr>
        <w:rPr>
          <w:rFonts w:ascii="나눔고딕" w:eastAsia="나눔고딕" w:hAnsi="나눔고딕"/>
          <w:szCs w:val="20"/>
        </w:rPr>
      </w:pPr>
      <w:r w:rsidRPr="0008714C">
        <w:rPr>
          <w:rFonts w:ascii="나눔고딕" w:eastAsia="나눔고딕" w:hAnsi="나눔고딕"/>
          <w:szCs w:val="20"/>
        </w:rPr>
        <w:t>6. We came to know that Hyogo in Japan intends to take a place in the next self-governing organization conference in 2000, and we willingly accept this intention. Furthermore, the Working Committee has determined to review reasonable and effective operations for the burden of expenses for sustainable growth of the Association.</w:t>
      </w:r>
    </w:p>
    <w:p w:rsidR="00672C9F" w:rsidRDefault="00D25CBD" w:rsidP="00D25CBD"/>
    <w:sectPr w:rsidR="00672C9F" w:rsidSect="00432A0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FELayout/>
  </w:compat>
  <w:rsids>
    <w:rsidRoot w:val="00D25CBD"/>
    <w:rsid w:val="000050EF"/>
    <w:rsid w:val="0028684C"/>
    <w:rsid w:val="0069064F"/>
    <w:rsid w:val="00A110E0"/>
    <w:rsid w:val="00D25CBD"/>
    <w:rsid w:val="00F27E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BD"/>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next w:val="Normal"/>
    <w:link w:val="Heading1Char"/>
    <w:uiPriority w:val="9"/>
    <w:qFormat/>
    <w:rsid w:val="00D25CBD"/>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CBD"/>
    <w:rPr>
      <w:rFonts w:asciiTheme="majorHAnsi" w:eastAsiaTheme="majorEastAsia" w:hAnsiTheme="majorHAnsi" w:cstheme="majorBidi"/>
      <w:kern w:val="2"/>
      <w:sz w:val="28"/>
      <w:szCs w:val="28"/>
    </w:rPr>
  </w:style>
  <w:style w:type="paragraph" w:styleId="ListParagraph">
    <w:name w:val="List Paragraph"/>
    <w:basedOn w:val="Normal"/>
    <w:uiPriority w:val="34"/>
    <w:qFormat/>
    <w:rsid w:val="00D25CBD"/>
    <w:pPr>
      <w:ind w:leftChars="400" w:left="800"/>
    </w:pPr>
  </w:style>
  <w:style w:type="table" w:customStyle="1" w:styleId="-11">
    <w:name w:val="옅은 음영 - 강조색 11"/>
    <w:basedOn w:val="TableNormal"/>
    <w:uiPriority w:val="60"/>
    <w:rsid w:val="00D25CBD"/>
    <w:pPr>
      <w:spacing w:after="0" w:line="240" w:lineRule="auto"/>
    </w:pPr>
    <w:rPr>
      <w:color w:val="365F91" w:themeColor="accent1" w:themeShade="BF"/>
      <w:kern w:val="2"/>
      <w:sz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25CBD"/>
    <w:rPr>
      <w:rFonts w:ascii="Tahoma" w:hAnsi="Tahoma" w:cs="Tahoma"/>
      <w:sz w:val="16"/>
      <w:szCs w:val="16"/>
    </w:rPr>
  </w:style>
  <w:style w:type="character" w:customStyle="1" w:styleId="BalloonTextChar">
    <w:name w:val="Balloon Text Char"/>
    <w:basedOn w:val="DefaultParagraphFont"/>
    <w:link w:val="BalloonText"/>
    <w:uiPriority w:val="99"/>
    <w:semiHidden/>
    <w:rsid w:val="00D25CBD"/>
    <w:rPr>
      <w:rFonts w:ascii="Tahoma" w:eastAsia="Batang"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C48C4-B0C2-4730-A020-CBDB73AE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noeme</dc:creator>
  <cp:lastModifiedBy>noeme</cp:lastModifiedBy>
  <cp:revision>2</cp:revision>
  <dcterms:created xsi:type="dcterms:W3CDTF">2012-12-16T02:59:00Z</dcterms:created>
  <dcterms:modified xsi:type="dcterms:W3CDTF">2012-12-16T03:00:00Z</dcterms:modified>
</cp:coreProperties>
</file>