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2B" w:rsidRPr="0037522B" w:rsidRDefault="0037522B" w:rsidP="0037522B">
      <w:pPr>
        <w:rPr>
          <w:rFonts w:ascii="Times New Roman" w:eastAsia="나눔고딕"/>
          <w:b/>
          <w:szCs w:val="20"/>
          <w:lang w:val="mn-MN"/>
        </w:rPr>
      </w:pPr>
      <w:r w:rsidRPr="0037522B">
        <w:rPr>
          <w:rFonts w:ascii="Times New Roman" w:eastAsia="나눔고딕"/>
          <w:b/>
          <w:szCs w:val="20"/>
          <w:lang w:val="mn-MN"/>
        </w:rPr>
        <w:t>Ажлын хорооны 8-р хурал</w:t>
      </w:r>
    </w:p>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pStyle w:val="a4"/>
        <w:widowControl/>
        <w:wordWrap/>
        <w:autoSpaceDE/>
        <w:autoSpaceDN/>
        <w:ind w:leftChars="0"/>
        <w:rPr>
          <w:rFonts w:ascii="Times New Roman"/>
          <w:szCs w:val="20"/>
          <w:lang w:val="mn-MN"/>
        </w:rPr>
      </w:pPr>
      <w:r w:rsidRPr="0037522B">
        <w:rPr>
          <w:rFonts w:ascii="Times New Roman"/>
          <w:szCs w:val="20"/>
          <w:lang w:val="mn-MN"/>
        </w:rPr>
        <w:t>Тойм</w:t>
      </w:r>
    </w:p>
    <w:p w:rsidR="0037522B" w:rsidRPr="0037522B" w:rsidRDefault="0037522B" w:rsidP="0037522B">
      <w:pPr>
        <w:widowControl/>
        <w:wordWrap/>
        <w:autoSpaceDE/>
        <w:autoSpaceDN/>
        <w:rPr>
          <w:rFonts w:ascii="Times New Roman" w:eastAsia="나눔고딕"/>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1540"/>
        <w:gridCol w:w="6740"/>
      </w:tblGrid>
      <w:tr w:rsidR="0037522B" w:rsidRPr="0037522B" w:rsidTr="00035EDE">
        <w:trPr>
          <w:trHeight w:val="298"/>
        </w:trPr>
        <w:tc>
          <w:tcPr>
            <w:tcW w:w="1234" w:type="dxa"/>
            <w:tcBorders>
              <w:top w:val="single" w:sz="8" w:space="0" w:color="4F81BD"/>
              <w:left w:val="nil"/>
              <w:bottom w:val="single" w:sz="8" w:space="0" w:color="4F81BD"/>
              <w:right w:val="nil"/>
            </w:tcBorders>
            <w:shd w:val="clear" w:color="auto" w:fill="C6D9F1"/>
            <w:vAlign w:val="center"/>
          </w:tcPr>
          <w:p w:rsidR="0037522B" w:rsidRPr="0037522B" w:rsidRDefault="0037522B" w:rsidP="0037522B">
            <w:pPr>
              <w:rPr>
                <w:rFonts w:ascii="Times New Roman" w:eastAsia="나눔고딕"/>
                <w:b/>
                <w:bCs/>
                <w:color w:val="365F91"/>
                <w:szCs w:val="20"/>
                <w:lang w:val="mn-MN"/>
              </w:rPr>
            </w:pPr>
            <w:r w:rsidRPr="0037522B">
              <w:rPr>
                <w:rFonts w:ascii="Times New Roman"/>
                <w:b/>
                <w:bCs/>
                <w:color w:val="000000"/>
                <w:szCs w:val="20"/>
                <w:lang w:val="mn-MN"/>
              </w:rPr>
              <w:t>Хугацаа</w:t>
            </w:r>
          </w:p>
        </w:tc>
        <w:tc>
          <w:tcPr>
            <w:tcW w:w="8282" w:type="dxa"/>
            <w:gridSpan w:val="2"/>
            <w:tcBorders>
              <w:top w:val="single" w:sz="8" w:space="0" w:color="4F81BD"/>
              <w:left w:val="nil"/>
              <w:bottom w:val="single" w:sz="8" w:space="0" w:color="4F81BD"/>
              <w:right w:val="nil"/>
            </w:tcBorders>
            <w:shd w:val="clear" w:color="auto" w:fill="auto"/>
          </w:tcPr>
          <w:p w:rsidR="0037522B" w:rsidRPr="0037522B" w:rsidRDefault="0037522B" w:rsidP="0037522B">
            <w:pPr>
              <w:rPr>
                <w:rFonts w:ascii="Times New Roman" w:eastAsia="나눔고딕"/>
                <w:b/>
                <w:bCs/>
                <w:color w:val="365F91"/>
                <w:szCs w:val="20"/>
                <w:lang w:val="mn-MN"/>
              </w:rPr>
            </w:pPr>
            <w:r w:rsidRPr="0037522B">
              <w:rPr>
                <w:rFonts w:ascii="Times New Roman"/>
                <w:b/>
                <w:bCs/>
                <w:color w:val="000000"/>
                <w:szCs w:val="20"/>
                <w:shd w:val="clear" w:color="auto" w:fill="FFFFFF"/>
                <w:lang w:val="mn-MN"/>
              </w:rPr>
              <w:t>2011-07-18 ~ 2011-07-21</w:t>
            </w:r>
          </w:p>
        </w:tc>
      </w:tr>
      <w:tr w:rsidR="0037522B" w:rsidRPr="0037522B" w:rsidTr="00035EDE">
        <w:trPr>
          <w:trHeight w:val="476"/>
        </w:trPr>
        <w:tc>
          <w:tcPr>
            <w:tcW w:w="1234" w:type="dxa"/>
            <w:tcBorders>
              <w:left w:val="nil"/>
              <w:right w:val="nil"/>
            </w:tcBorders>
            <w:shd w:val="clear" w:color="auto" w:fill="C6D9F1"/>
            <w:vAlign w:val="center"/>
          </w:tcPr>
          <w:tbl>
            <w:tblPr>
              <w:tblW w:w="0" w:type="auto"/>
              <w:tblCellSpacing w:w="0" w:type="dxa"/>
              <w:tblCellMar>
                <w:left w:w="0" w:type="dxa"/>
                <w:right w:w="0" w:type="dxa"/>
              </w:tblCellMar>
              <w:tblLook w:val="04A0"/>
            </w:tblPr>
            <w:tblGrid>
              <w:gridCol w:w="120"/>
              <w:gridCol w:w="519"/>
            </w:tblGrid>
            <w:tr w:rsidR="0037522B" w:rsidRPr="0037522B" w:rsidTr="00035EDE">
              <w:trPr>
                <w:tblCellSpacing w:w="0" w:type="dxa"/>
              </w:trPr>
              <w:tc>
                <w:tcPr>
                  <w:tcW w:w="120" w:type="dxa"/>
                  <w:vAlign w:val="center"/>
                  <w:hideMark/>
                </w:tcPr>
                <w:p w:rsidR="0037522B" w:rsidRPr="0037522B" w:rsidRDefault="0037522B" w:rsidP="0037522B">
                  <w:pPr>
                    <w:widowControl/>
                    <w:wordWrap/>
                    <w:autoSpaceDE/>
                    <w:autoSpaceDN/>
                    <w:spacing w:line="240" w:lineRule="atLeast"/>
                    <w:rPr>
                      <w:rFonts w:ascii="Times New Roman" w:eastAsia="굴림"/>
                      <w:b/>
                      <w:color w:val="000000"/>
                      <w:kern w:val="0"/>
                      <w:szCs w:val="20"/>
                      <w:lang w:val="mn-MN" w:bidi="mn-Mong-CN"/>
                    </w:rPr>
                  </w:pPr>
                </w:p>
              </w:tc>
              <w:tc>
                <w:tcPr>
                  <w:tcW w:w="0" w:type="auto"/>
                  <w:vAlign w:val="center"/>
                  <w:hideMark/>
                </w:tcPr>
                <w:p w:rsidR="0037522B" w:rsidRPr="0037522B" w:rsidRDefault="0037522B" w:rsidP="0037522B">
                  <w:pPr>
                    <w:widowControl/>
                    <w:wordWrap/>
                    <w:autoSpaceDE/>
                    <w:autoSpaceDN/>
                    <w:spacing w:line="240" w:lineRule="atLeast"/>
                    <w:rPr>
                      <w:rFonts w:ascii="Times New Roman" w:eastAsia="굴림"/>
                      <w:b/>
                      <w:color w:val="000000"/>
                      <w:kern w:val="0"/>
                      <w:szCs w:val="20"/>
                      <w:lang w:val="mn-MN" w:bidi="mn-Mong-CN"/>
                    </w:rPr>
                  </w:pPr>
                  <w:r w:rsidRPr="0037522B">
                    <w:rPr>
                      <w:rFonts w:ascii="Times New Roman" w:eastAsia="굴림"/>
                      <w:b/>
                      <w:color w:val="000000"/>
                      <w:kern w:val="0"/>
                      <w:szCs w:val="20"/>
                      <w:lang w:val="mn-MN" w:bidi="mn-Mong-CN"/>
                    </w:rPr>
                    <w:t>Газар</w:t>
                  </w:r>
                </w:p>
              </w:tc>
            </w:tr>
          </w:tbl>
          <w:p w:rsidR="0037522B" w:rsidRPr="0037522B" w:rsidRDefault="0037522B" w:rsidP="0037522B">
            <w:pPr>
              <w:rPr>
                <w:rFonts w:ascii="Times New Roman" w:eastAsia="나눔고딕"/>
                <w:b/>
                <w:bCs/>
                <w:color w:val="365F91"/>
                <w:szCs w:val="20"/>
                <w:lang w:val="mn-MN"/>
              </w:rPr>
            </w:pPr>
          </w:p>
        </w:tc>
        <w:tc>
          <w:tcPr>
            <w:tcW w:w="8282" w:type="dxa"/>
            <w:gridSpan w:val="2"/>
            <w:tcBorders>
              <w:left w:val="nil"/>
              <w:right w:val="nil"/>
            </w:tcBorders>
            <w:shd w:val="clear" w:color="auto" w:fill="auto"/>
            <w:vAlign w:val="center"/>
          </w:tcPr>
          <w:p w:rsidR="0037522B" w:rsidRPr="0037522B" w:rsidRDefault="0037522B" w:rsidP="0037522B">
            <w:pPr>
              <w:rPr>
                <w:rFonts w:ascii="Times New Roman" w:eastAsia="나눔고딕"/>
                <w:color w:val="365F91"/>
                <w:szCs w:val="20"/>
                <w:lang w:val="mn-MN"/>
              </w:rPr>
            </w:pPr>
            <w:r w:rsidRPr="0037522B">
              <w:rPr>
                <w:rFonts w:ascii="Times New Roman"/>
                <w:color w:val="000000"/>
                <w:szCs w:val="20"/>
                <w:shd w:val="clear" w:color="auto" w:fill="FFFFFF"/>
                <w:lang w:val="mn-MN"/>
              </w:rPr>
              <w:t>Бүгд найрамдах Хятад ард улс&gt; Ниншя Хуйн ӨЗО, Инчүан хот, Кемпинский зочид буудал</w:t>
            </w:r>
          </w:p>
        </w:tc>
      </w:tr>
      <w:tr w:rsidR="0037522B" w:rsidRPr="0037522B" w:rsidTr="00035EDE">
        <w:trPr>
          <w:trHeight w:val="298"/>
        </w:trPr>
        <w:tc>
          <w:tcPr>
            <w:tcW w:w="1234" w:type="dxa"/>
            <w:shd w:val="clear" w:color="auto" w:fill="C6D9F1"/>
            <w:vAlign w:val="center"/>
          </w:tcPr>
          <w:p w:rsidR="0037522B" w:rsidRPr="0037522B" w:rsidRDefault="0037522B" w:rsidP="0037522B">
            <w:pPr>
              <w:spacing w:line="240" w:lineRule="atLeast"/>
              <w:rPr>
                <w:rFonts w:ascii="Times New Roman" w:eastAsia="나눔고딕"/>
                <w:b/>
                <w:bCs/>
                <w:color w:val="365F91"/>
                <w:szCs w:val="20"/>
                <w:lang w:val="mn-MN"/>
              </w:rPr>
            </w:pPr>
            <w:r w:rsidRPr="0037522B">
              <w:rPr>
                <w:rFonts w:ascii="Times New Roman"/>
                <w:b/>
                <w:bCs/>
                <w:color w:val="000000"/>
                <w:szCs w:val="20"/>
                <w:lang w:val="mn-MN"/>
              </w:rPr>
              <w:t>Зохион байгуулсан</w:t>
            </w:r>
          </w:p>
        </w:tc>
        <w:tc>
          <w:tcPr>
            <w:tcW w:w="8282" w:type="dxa"/>
            <w:gridSpan w:val="2"/>
            <w:tcBorders>
              <w:bottom w:val="dotted" w:sz="4" w:space="0" w:color="auto"/>
            </w:tcBorders>
            <w:shd w:val="clear" w:color="auto" w:fill="auto"/>
            <w:vAlign w:val="center"/>
          </w:tcPr>
          <w:p w:rsidR="0037522B" w:rsidRPr="0037522B" w:rsidRDefault="0037522B" w:rsidP="0037522B">
            <w:pPr>
              <w:rPr>
                <w:rFonts w:ascii="Times New Roman" w:eastAsia="나눔고딕"/>
                <w:color w:val="365F91"/>
                <w:szCs w:val="20"/>
                <w:lang w:val="mn-MN"/>
              </w:rPr>
            </w:pPr>
            <w:r w:rsidRPr="0037522B">
              <w:rPr>
                <w:rFonts w:ascii="Times New Roman"/>
                <w:color w:val="000000"/>
                <w:szCs w:val="20"/>
                <w:shd w:val="clear" w:color="auto" w:fill="FFFFFF"/>
                <w:lang w:val="mn-MN"/>
              </w:rPr>
              <w:t>Бүгд найрамдах Хятад ард улс&gt; Ниншя Хуйн ӨЗО</w:t>
            </w:r>
          </w:p>
        </w:tc>
      </w:tr>
      <w:tr w:rsidR="0037522B" w:rsidRPr="0037522B" w:rsidTr="00035EDE">
        <w:trPr>
          <w:trHeight w:val="298"/>
        </w:trPr>
        <w:tc>
          <w:tcPr>
            <w:tcW w:w="1234" w:type="dxa"/>
            <w:tcBorders>
              <w:left w:val="nil"/>
              <w:right w:val="nil"/>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r w:rsidRPr="0037522B">
              <w:rPr>
                <w:rFonts w:ascii="Times New Roman"/>
                <w:b/>
                <w:bCs/>
                <w:color w:val="000000"/>
                <w:szCs w:val="20"/>
                <w:lang w:val="mn-MN"/>
              </w:rPr>
              <w:t>Оролцсон байдал</w:t>
            </w:r>
          </w:p>
        </w:tc>
        <w:tc>
          <w:tcPr>
            <w:tcW w:w="8282" w:type="dxa"/>
            <w:gridSpan w:val="2"/>
            <w:tcBorders>
              <w:left w:val="nil"/>
              <w:bottom w:val="dotted" w:sz="4" w:space="0" w:color="auto"/>
              <w:right w:val="nil"/>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Оролцогч 5 улсын 25 орон нутаг, холбогдох албан байгууллага</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eastAsia="굴림"/>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Хятад улс</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Хэйлонжан муж, Шаньдун муж, Ниншя Хуйн ӨЗО</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Япон улс</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Тояама муж, Хёго муж, Тоттори муж, Шиманэ муж</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Солонгос улс</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Пусан хот, Дэгү хот, Ульсан хот, Кёнги муж, Чүнчонбүг муж, Жолланам муж, Кёнсанбүг муж, Кёнсаннам муж, Жэжү муж</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Монгол улс</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Булган аймаг, Орхон аймаг</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ОХУ</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Буриадын БНУ, Забайкальск хязгаар</w:t>
            </w:r>
          </w:p>
        </w:tc>
      </w:tr>
      <w:tr w:rsidR="0037522B" w:rsidRPr="0037522B" w:rsidTr="00035EDE">
        <w:trPr>
          <w:trHeight w:val="298"/>
        </w:trPr>
        <w:tc>
          <w:tcPr>
            <w:tcW w:w="1234" w:type="dxa"/>
            <w:tcBorders>
              <w:right w:val="dotted" w:sz="4" w:space="0" w:color="auto"/>
            </w:tcBorders>
            <w:shd w:val="clear" w:color="auto" w:fill="C6D9F1"/>
            <w:vAlign w:val="center"/>
          </w:tcPr>
          <w:p w:rsidR="0037522B" w:rsidRPr="0037522B" w:rsidRDefault="0037522B" w:rsidP="0037522B">
            <w:pPr>
              <w:spacing w:line="240" w:lineRule="atLeast"/>
              <w:rPr>
                <w:rFonts w:ascii="Times New Roman"/>
                <w:b/>
                <w:bCs/>
                <w:color w:val="000000"/>
                <w:szCs w:val="20"/>
                <w:lang w:val="mn-MN"/>
              </w:rPr>
            </w:pPr>
          </w:p>
        </w:tc>
        <w:tc>
          <w:tcPr>
            <w:tcW w:w="1540" w:type="dxa"/>
            <w:tcBorders>
              <w:left w:val="dotted" w:sz="4" w:space="0" w:color="auto"/>
              <w:righ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Холбогдох байгууллага</w:t>
            </w:r>
          </w:p>
        </w:tc>
        <w:tc>
          <w:tcPr>
            <w:tcW w:w="6742" w:type="dxa"/>
            <w:tcBorders>
              <w:left w:val="single" w:sz="4" w:space="0" w:color="auto"/>
            </w:tcBorders>
            <w:shd w:val="clear" w:color="auto" w:fill="auto"/>
            <w:vAlign w:val="center"/>
          </w:tcPr>
          <w:p w:rsidR="0037522B" w:rsidRPr="0037522B" w:rsidRDefault="0037522B" w:rsidP="0037522B">
            <w:pPr>
              <w:rPr>
                <w:rFonts w:ascii="Times New Roman"/>
                <w:color w:val="000000"/>
                <w:szCs w:val="20"/>
                <w:shd w:val="clear" w:color="auto" w:fill="FFFFFF"/>
                <w:lang w:val="mn-MN"/>
              </w:rPr>
            </w:pPr>
            <w:r w:rsidRPr="0037522B">
              <w:rPr>
                <w:rFonts w:ascii="Times New Roman"/>
                <w:color w:val="000000"/>
                <w:szCs w:val="20"/>
                <w:shd w:val="clear" w:color="auto" w:fill="FFFFFF"/>
                <w:lang w:val="mn-MN"/>
              </w:rPr>
              <w:t>Солонгосын гадаад харилцаа, худалдааны яам</w:t>
            </w:r>
          </w:p>
        </w:tc>
      </w:tr>
    </w:tbl>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widowControl/>
        <w:wordWrap/>
        <w:autoSpaceDE/>
        <w:autoSpaceDN/>
        <w:rPr>
          <w:rFonts w:ascii="Times New Roman" w:eastAsia="나눔고딕"/>
          <w:b/>
          <w:szCs w:val="20"/>
          <w:lang w:val="mn-MN"/>
        </w:rPr>
      </w:pPr>
      <w:r w:rsidRPr="0037522B">
        <w:rPr>
          <w:rFonts w:ascii="Times New Roman" w:eastAsia="나눔고딕"/>
          <w:b/>
          <w:szCs w:val="20"/>
          <w:lang w:val="mn-MN"/>
        </w:rPr>
        <w:t>Агуулга</w:t>
      </w:r>
    </w:p>
    <w:p w:rsidR="0037522B" w:rsidRPr="0037522B" w:rsidRDefault="0037522B" w:rsidP="0037522B">
      <w:pPr>
        <w:widowControl/>
        <w:numPr>
          <w:ilvl w:val="0"/>
          <w:numId w:val="3"/>
        </w:numPr>
        <w:wordWrap/>
        <w:autoSpaceDE/>
        <w:autoSpaceDN/>
        <w:rPr>
          <w:rFonts w:ascii="Times New Roman" w:eastAsia="나눔고딕"/>
          <w:szCs w:val="20"/>
          <w:lang w:val="mn-MN"/>
        </w:rPr>
      </w:pPr>
      <w:r w:rsidRPr="0037522B">
        <w:rPr>
          <w:rFonts w:ascii="Times New Roman" w:eastAsia="나눔고딕"/>
          <w:szCs w:val="20"/>
          <w:lang w:val="mn-MN"/>
        </w:rPr>
        <w:t>2014 онд 10-р Бүгд хурлыг Солонгос улсын Жолланам мужид зохиохоор шийдвэрлэсэн.</w:t>
      </w:r>
    </w:p>
    <w:p w:rsidR="0037522B" w:rsidRPr="0037522B" w:rsidRDefault="0037522B" w:rsidP="0037522B">
      <w:pPr>
        <w:widowControl/>
        <w:numPr>
          <w:ilvl w:val="0"/>
          <w:numId w:val="3"/>
        </w:numPr>
        <w:wordWrap/>
        <w:autoSpaceDE/>
        <w:autoSpaceDN/>
        <w:rPr>
          <w:rFonts w:ascii="Times New Roman" w:eastAsia="나눔고딕"/>
          <w:szCs w:val="20"/>
          <w:lang w:val="mn-MN"/>
        </w:rPr>
      </w:pPr>
      <w:r w:rsidRPr="0037522B">
        <w:rPr>
          <w:rFonts w:ascii="Times New Roman" w:eastAsia="나눔고딕"/>
          <w:szCs w:val="20"/>
          <w:lang w:val="mn-MN"/>
        </w:rPr>
        <w:t>Солонгос улсын Кёнсанбүг мужид холбооны хэрэг эрхлэх газрыг үргэлжлүүлэн байршуулах шийдвэр гарсан.</w:t>
      </w:r>
    </w:p>
    <w:p w:rsidR="0037522B" w:rsidRPr="0037522B" w:rsidRDefault="0037522B" w:rsidP="0037522B">
      <w:pPr>
        <w:widowControl/>
        <w:numPr>
          <w:ilvl w:val="0"/>
          <w:numId w:val="3"/>
        </w:numPr>
        <w:wordWrap/>
        <w:autoSpaceDE/>
        <w:autoSpaceDN/>
        <w:rPr>
          <w:rFonts w:ascii="Times New Roman" w:eastAsia="나눔고딕"/>
          <w:szCs w:val="20"/>
          <w:lang w:val="mn-MN"/>
        </w:rPr>
      </w:pPr>
      <w:r w:rsidRPr="0037522B">
        <w:rPr>
          <w:rFonts w:ascii="Times New Roman" w:eastAsia="나눔고딕"/>
          <w:szCs w:val="20"/>
          <w:lang w:val="mn-MN"/>
        </w:rPr>
        <w:t>Био эмичилгээний аж үйлдвэрийн салбар хороог байгуулах шийдвэр гарсан.</w:t>
      </w:r>
    </w:p>
    <w:p w:rsidR="0037522B" w:rsidRPr="0037522B" w:rsidRDefault="0037522B" w:rsidP="0037522B">
      <w:pPr>
        <w:widowControl/>
        <w:numPr>
          <w:ilvl w:val="0"/>
          <w:numId w:val="3"/>
        </w:numPr>
        <w:wordWrap/>
        <w:autoSpaceDE/>
        <w:autoSpaceDN/>
        <w:rPr>
          <w:rFonts w:ascii="Times New Roman" w:eastAsia="나눔고딕"/>
          <w:szCs w:val="20"/>
          <w:lang w:val="mn-MN"/>
        </w:rPr>
      </w:pPr>
      <w:r w:rsidRPr="0037522B">
        <w:rPr>
          <w:rFonts w:ascii="Times New Roman" w:eastAsia="나눔고딕"/>
          <w:szCs w:val="20"/>
          <w:lang w:val="mn-MN"/>
        </w:rPr>
        <w:t>Салбар хороо байгуулах ажиллуулах тухай журамд өөрчлөлт оруулсан.</w:t>
      </w:r>
    </w:p>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widowControl/>
        <w:wordWrap/>
        <w:autoSpaceDE/>
        <w:autoSpaceDN/>
        <w:rPr>
          <w:rFonts w:ascii="Times New Roman" w:eastAsia="나눔고딕"/>
          <w:b/>
          <w:szCs w:val="20"/>
          <w:lang w:val="mn-MN"/>
        </w:rPr>
      </w:pPr>
      <w:r w:rsidRPr="0037522B">
        <w:rPr>
          <w:rFonts w:ascii="Times New Roman" w:eastAsia="나눔고딕"/>
          <w:b/>
          <w:szCs w:val="20"/>
          <w:lang w:val="mn-MN"/>
        </w:rPr>
        <w:t>Тунхаг</w:t>
      </w:r>
    </w:p>
    <w:p w:rsidR="0037522B" w:rsidRPr="0037522B" w:rsidRDefault="0037522B" w:rsidP="0037522B">
      <w:pPr>
        <w:widowControl/>
        <w:wordWrap/>
        <w:autoSpaceDE/>
        <w:autoSpaceDN/>
        <w:rPr>
          <w:rFonts w:ascii="Times New Roman" w:eastAsia="나눔고딕"/>
          <w:b/>
          <w:szCs w:val="20"/>
          <w:lang w:val="mn-MN"/>
        </w:rPr>
      </w:pPr>
    </w:p>
    <w:p w:rsidR="0037522B" w:rsidRPr="0037522B" w:rsidRDefault="0037522B" w:rsidP="0037522B">
      <w:pPr>
        <w:widowControl/>
        <w:wordWrap/>
        <w:autoSpaceDE/>
        <w:autoSpaceDN/>
        <w:rPr>
          <w:rFonts w:ascii="Times New Roman" w:eastAsia="나눔고딕"/>
          <w:b/>
          <w:szCs w:val="20"/>
          <w:lang w:val="mn-MN"/>
        </w:rPr>
      </w:pPr>
    </w:p>
    <w:p w:rsidR="0037522B" w:rsidRPr="0037522B" w:rsidRDefault="0037522B" w:rsidP="0037522B">
      <w:pPr>
        <w:widowControl/>
        <w:wordWrap/>
        <w:autoSpaceDE/>
        <w:autoSpaceDN/>
        <w:rPr>
          <w:rFonts w:ascii="Times New Roman" w:eastAsia="나눔고딕"/>
          <w:szCs w:val="20"/>
          <w:lang w:val="mn-MN"/>
        </w:rPr>
      </w:pPr>
      <w:r w:rsidRPr="0037522B">
        <w:rPr>
          <w:rFonts w:ascii="Times New Roman" w:eastAsia="나눔고딕"/>
          <w:szCs w:val="20"/>
          <w:lang w:val="mn-MN"/>
        </w:rPr>
        <w:t>2011 оны NEAR Холбооны ажлын хорооны 8-р хурал</w:t>
      </w:r>
    </w:p>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widowControl/>
        <w:wordWrap/>
        <w:autoSpaceDE/>
        <w:autoSpaceDN/>
        <w:rPr>
          <w:rFonts w:ascii="Times New Roman" w:eastAsia="나눔고딕"/>
          <w:szCs w:val="20"/>
          <w:lang w:val="mn-MN"/>
        </w:rPr>
      </w:pPr>
    </w:p>
    <w:p w:rsidR="0037522B" w:rsidRPr="0037522B" w:rsidRDefault="0037522B" w:rsidP="0037522B">
      <w:pPr>
        <w:pStyle w:val="s0"/>
        <w:spacing w:before="0" w:beforeAutospacing="0" w:after="0" w:afterAutospacing="0"/>
        <w:jc w:val="both"/>
        <w:rPr>
          <w:rFonts w:ascii="Times New Roman" w:hAnsi="Times New Roman" w:cs="Times New Roman"/>
          <w:b/>
          <w:bCs/>
          <w:spacing w:val="-15"/>
          <w:w w:val="95"/>
          <w:sz w:val="20"/>
          <w:szCs w:val="20"/>
          <w:lang w:val="mn-MN"/>
        </w:rPr>
      </w:pPr>
      <w:r w:rsidRPr="0037522B">
        <w:rPr>
          <w:rFonts w:ascii="Times New Roman" w:hAnsi="Times New Roman" w:cs="Times New Roman"/>
          <w:b/>
          <w:bCs/>
          <w:spacing w:val="-15"/>
          <w:w w:val="95"/>
          <w:sz w:val="20"/>
          <w:szCs w:val="20"/>
          <w:lang w:val="mn-MN"/>
        </w:rPr>
        <w:t>NEAR Холбооны ажлын хорооны 8-р хурал 2011-07-07</w:t>
      </w:r>
    </w:p>
    <w:p w:rsidR="0037522B" w:rsidRPr="0037522B" w:rsidRDefault="0037522B" w:rsidP="0037522B">
      <w:pPr>
        <w:pStyle w:val="s0"/>
        <w:spacing w:before="0" w:beforeAutospacing="0" w:after="0" w:afterAutospacing="0"/>
        <w:jc w:val="both"/>
        <w:rPr>
          <w:rFonts w:ascii="Times New Roman" w:hAnsi="Times New Roman" w:cs="Times New Roman"/>
          <w:b/>
          <w:bCs/>
          <w:spacing w:val="-15"/>
          <w:w w:val="95"/>
          <w:sz w:val="20"/>
          <w:szCs w:val="20"/>
          <w:lang w:val="mn-MN"/>
        </w:rPr>
      </w:pPr>
      <w:r w:rsidRPr="0037522B">
        <w:rPr>
          <w:rFonts w:ascii="Times New Roman" w:hAnsi="Times New Roman" w:cs="Times New Roman"/>
          <w:b/>
          <w:bCs/>
          <w:spacing w:val="-15"/>
          <w:w w:val="95"/>
          <w:sz w:val="20"/>
          <w:szCs w:val="20"/>
          <w:lang w:val="mn-MN"/>
        </w:rPr>
        <w:t>Тунхаг</w:t>
      </w:r>
    </w:p>
    <w:p w:rsidR="0037522B" w:rsidRPr="0037522B" w:rsidRDefault="0037522B" w:rsidP="0037522B">
      <w:pPr>
        <w:pStyle w:val="s0"/>
        <w:ind w:firstLineChars="100" w:firstLine="200"/>
        <w:jc w:val="both"/>
        <w:rPr>
          <w:rFonts w:ascii="Times New Roman" w:hAnsi="Times New Roman" w:cs="Times New Roman"/>
          <w:bCs/>
          <w:sz w:val="20"/>
          <w:szCs w:val="20"/>
          <w:lang w:val="mn-MN"/>
        </w:rPr>
      </w:pPr>
      <w:r w:rsidRPr="0037522B">
        <w:rPr>
          <w:rFonts w:ascii="Times New Roman" w:hAnsi="Times New Roman" w:cs="Times New Roman"/>
          <w:bCs/>
          <w:sz w:val="20"/>
          <w:szCs w:val="20"/>
          <w:lang w:val="mn-MN"/>
        </w:rPr>
        <w:t>ЗХАБНЗЗХ-ны ажлын хорооны 8-р хурал 2011 оны 7 сарын 19-ний өдөр Хятад улсын Ниншя Хуйн ӨЗО-ны Инчүан хотноо “Хамтын ажиллагааг гүнзгийрүүлэн хамтдаа хөгжил цэцэглэлт рүү” хэмээх сэдвээр зохиогдож, үүнд Монгол, Орос, Солонгос, Хятад, Япон 5 улсын гишүүн болон гишүүн бус 26 байгууллагын 90 төлөөлөгч оролцов.</w:t>
      </w:r>
    </w:p>
    <w:p w:rsidR="0037522B" w:rsidRPr="0037522B" w:rsidRDefault="0037522B" w:rsidP="0037522B">
      <w:pPr>
        <w:pStyle w:val="s0"/>
        <w:jc w:val="both"/>
        <w:rPr>
          <w:rFonts w:ascii="Times New Roman" w:hAnsi="Times New Roman" w:cs="Times New Roman"/>
          <w:bCs/>
          <w:sz w:val="20"/>
          <w:szCs w:val="20"/>
          <w:lang w:val="mn-MN"/>
        </w:rPr>
      </w:pPr>
      <w:r w:rsidRPr="0037522B">
        <w:rPr>
          <w:rFonts w:ascii="Times New Roman" w:hAnsi="Times New Roman" w:cs="Times New Roman"/>
          <w:bCs/>
          <w:sz w:val="20"/>
          <w:szCs w:val="20"/>
          <w:lang w:val="mn-MN"/>
        </w:rPr>
        <w:t>Хурлын нээлтийн ажиллагааны дараагаар Холбооны гол үйл ажиллагаа болон 2010 онд Кёнги мужид зохиогдсон бүгд хурал, Хэрэг эрхлэх газар, 8 дэд хороодын гол үйл ажиллагааны тайлан тавигдав. Дараагаар нь</w:t>
      </w:r>
      <w:r w:rsidRPr="0037522B">
        <w:rPr>
          <w:rFonts w:ascii="Times New Roman" w:hAnsi="Times New Roman" w:cs="Times New Roman"/>
          <w:sz w:val="20"/>
          <w:szCs w:val="20"/>
          <w:lang w:val="mn-MN"/>
        </w:rPr>
        <w:t xml:space="preserve"> NEAR</w:t>
      </w:r>
      <w:r w:rsidRPr="0037522B">
        <w:rPr>
          <w:rFonts w:ascii="Times New Roman" w:eastAsia="맑은 고딕" w:hAnsi="Times New Roman" w:cs="Times New Roman"/>
          <w:sz w:val="20"/>
          <w:szCs w:val="20"/>
          <w:lang w:val="mn-MN"/>
        </w:rPr>
        <w:t xml:space="preserve"> Холбоог х</w:t>
      </w:r>
      <w:r w:rsidRPr="0037522B">
        <w:rPr>
          <w:rFonts w:ascii="Times New Roman" w:eastAsia="MS Mincho" w:hAnsi="Times New Roman" w:cs="Times New Roman"/>
          <w:sz w:val="20"/>
          <w:szCs w:val="20"/>
          <w:lang w:val="mn-MN"/>
        </w:rPr>
        <w:t>өгжүүлэх тухай гишүүн байгууллагуудаас илтгэл тавьж</w:t>
      </w:r>
      <w:r w:rsidRPr="0037522B">
        <w:rPr>
          <w:rFonts w:ascii="Times New Roman" w:eastAsia="맑은 고딕" w:hAnsi="Times New Roman" w:cs="Times New Roman"/>
          <w:sz w:val="20"/>
          <w:szCs w:val="20"/>
          <w:lang w:val="mn-MN"/>
        </w:rPr>
        <w:t xml:space="preserve">, </w:t>
      </w:r>
      <w:r w:rsidRPr="0037522B">
        <w:rPr>
          <w:rFonts w:ascii="Times New Roman" w:eastAsia="MS Mincho" w:hAnsi="Times New Roman" w:cs="Times New Roman"/>
          <w:sz w:val="20"/>
          <w:szCs w:val="20"/>
          <w:lang w:val="mn-MN"/>
        </w:rPr>
        <w:t xml:space="preserve">Солонгос улсын Жолланам муж, Кёнсанбүг муж, </w:t>
      </w:r>
      <w:r w:rsidRPr="0037522B">
        <w:rPr>
          <w:rFonts w:ascii="Times New Roman" w:eastAsia="맑은 고딕" w:hAnsi="Times New Roman" w:cs="Times New Roman"/>
          <w:sz w:val="20"/>
          <w:szCs w:val="20"/>
          <w:lang w:val="mn-MN"/>
        </w:rPr>
        <w:t>Ч</w:t>
      </w:r>
      <w:r w:rsidRPr="0037522B">
        <w:rPr>
          <w:rFonts w:ascii="Times New Roman" w:eastAsia="MS Mincho" w:hAnsi="Times New Roman" w:cs="Times New Roman"/>
          <w:sz w:val="20"/>
          <w:szCs w:val="20"/>
          <w:lang w:val="mn-MN"/>
        </w:rPr>
        <w:t>ү</w:t>
      </w:r>
      <w:r w:rsidRPr="0037522B">
        <w:rPr>
          <w:rFonts w:ascii="Times New Roman" w:eastAsia="맑은 고딕" w:hAnsi="Times New Roman" w:cs="Times New Roman"/>
          <w:sz w:val="20"/>
          <w:szCs w:val="20"/>
          <w:lang w:val="mn-MN"/>
        </w:rPr>
        <w:t>нчонб</w:t>
      </w:r>
      <w:r w:rsidRPr="0037522B">
        <w:rPr>
          <w:rFonts w:ascii="Times New Roman" w:eastAsia="MS Mincho" w:hAnsi="Times New Roman" w:cs="Times New Roman"/>
          <w:sz w:val="20"/>
          <w:szCs w:val="20"/>
          <w:lang w:val="mn-MN"/>
        </w:rPr>
        <w:t>ү</w:t>
      </w:r>
      <w:r w:rsidRPr="0037522B">
        <w:rPr>
          <w:rFonts w:ascii="Times New Roman" w:eastAsia="맑은 고딕" w:hAnsi="Times New Roman" w:cs="Times New Roman"/>
          <w:sz w:val="20"/>
          <w:szCs w:val="20"/>
          <w:lang w:val="mn-MN"/>
        </w:rPr>
        <w:t xml:space="preserve">г муж, Холбооны Хэрэг эрхлэх газраас санал тавьж, энэ талаар хэлэлцүүлэг явагдав. </w:t>
      </w:r>
      <w:r w:rsidRPr="0037522B">
        <w:rPr>
          <w:rFonts w:ascii="Times New Roman" w:hAnsi="Times New Roman" w:cs="Times New Roman"/>
          <w:bCs/>
          <w:sz w:val="20"/>
          <w:szCs w:val="20"/>
          <w:lang w:val="mn-MN"/>
        </w:rPr>
        <w:t xml:space="preserve"> Мөн ажлын хорооноос санал болгосон зүйлийг хэлэлцэж, 2012 оны 9-р Бүгд хуралд дэвшүүлэх саналын талаар тохиролцсон бөгөөд хурлын дэлгэрэнгүй агуулгыг дор дурдав.</w:t>
      </w:r>
    </w:p>
    <w:p w:rsidR="0037522B" w:rsidRPr="0037522B" w:rsidRDefault="0037522B" w:rsidP="0037522B">
      <w:pPr>
        <w:pStyle w:val="s0"/>
        <w:jc w:val="both"/>
        <w:rPr>
          <w:rFonts w:ascii="Times New Roman" w:hAnsi="Times New Roman" w:cs="Times New Roman"/>
          <w:bCs/>
          <w:sz w:val="20"/>
          <w:szCs w:val="20"/>
          <w:lang w:val="mn-MN"/>
        </w:rPr>
      </w:pPr>
    </w:p>
    <w:p w:rsidR="0037522B" w:rsidRPr="0037522B" w:rsidRDefault="0037522B" w:rsidP="0037522B">
      <w:pPr>
        <w:pStyle w:val="s0"/>
        <w:ind w:left="280"/>
        <w:jc w:val="both"/>
        <w:rPr>
          <w:rFonts w:ascii="Times New Roman" w:hAnsi="Times New Roman" w:cs="Times New Roman"/>
          <w:b/>
          <w:sz w:val="20"/>
          <w:szCs w:val="20"/>
          <w:lang w:val="mn-MN"/>
        </w:rPr>
      </w:pPr>
      <w:r w:rsidRPr="0037522B">
        <w:rPr>
          <w:rFonts w:ascii="Times New Roman" w:hAnsi="Times New Roman" w:cs="Times New Roman"/>
          <w:b/>
          <w:sz w:val="20"/>
          <w:szCs w:val="20"/>
          <w:lang w:val="mn-MN"/>
        </w:rPr>
        <w:t>Холбооны гол үйл ажиллагааны тайлан</w:t>
      </w:r>
    </w:p>
    <w:p w:rsidR="0037522B" w:rsidRPr="0037522B" w:rsidRDefault="0037522B" w:rsidP="0037522B">
      <w:pPr>
        <w:pStyle w:val="s0"/>
        <w:ind w:left="280"/>
        <w:jc w:val="both"/>
        <w:rPr>
          <w:rFonts w:ascii="Times New Roman" w:hAnsi="Times New Roman" w:cs="Times New Roman"/>
          <w:b/>
          <w:sz w:val="20"/>
          <w:szCs w:val="20"/>
          <w:lang w:val="mn-MN"/>
        </w:rPr>
      </w:pPr>
    </w:p>
    <w:p w:rsidR="0037522B" w:rsidRPr="0037522B" w:rsidRDefault="0037522B" w:rsidP="0037522B">
      <w:pPr>
        <w:pStyle w:val="s0"/>
        <w:widowControl w:val="0"/>
        <w:numPr>
          <w:ilvl w:val="0"/>
          <w:numId w:val="4"/>
        </w:numPr>
        <w:autoSpaceDE w:val="0"/>
        <w:autoSpaceDN w:val="0"/>
        <w:adjustRightInd w:val="0"/>
        <w:spacing w:before="0" w:beforeAutospacing="0" w:after="0" w:afterAutospacing="0"/>
        <w:jc w:val="both"/>
        <w:rPr>
          <w:rFonts w:ascii="Times New Roman" w:hAnsi="Times New Roman" w:cs="Times New Roman"/>
          <w:b/>
          <w:sz w:val="20"/>
          <w:szCs w:val="20"/>
          <w:lang w:val="mn-MN"/>
        </w:rPr>
      </w:pPr>
      <w:r w:rsidRPr="0037522B">
        <w:rPr>
          <w:rFonts w:ascii="Times New Roman" w:hAnsi="Times New Roman" w:cs="Times New Roman"/>
          <w:b/>
          <w:sz w:val="20"/>
          <w:szCs w:val="20"/>
          <w:lang w:val="mn-MN"/>
        </w:rPr>
        <w:lastRenderedPageBreak/>
        <w:t>2010 онд Кёнги мужид зохиогдсон Холбооны 8-р Бүгд хурлын тайлан</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Холбооны 8 дахь удаагийн тэргүүлэгч байгууллага болох Солонгос улсын Кёнги мужид 2010 оны 10 сарын 27-29-ний өдрүүдэд “Хамтын ажиллагаагаар хамтын хөгжил цэцэглэлт рүү” хэмээх сэдвээр зохиогдож, үүнд 5 улсын 48 байгууллагын 121 төлөөлөгч оролцлоо. Хурлаар 2012 онд NEAR Холбооны 9-р Бүгд хурлыг Ниншя Хуйн ӨЗО-д зохион явуулах шийдвэр гарсан бөгөөд Холбооны үндсэн дүрмийн 7-р зүйл (Удирдлага), 20-р зүйл(Хэл),-ийн журамд нэмэлт өөрчлөлт оруулах болон ОХУ-ын Кемеровск мужийг Холбоонд гишүүнээр элсүүлэхийг батлав. Гишүүний хураамж нэвтрүүлэх хугацааны талаарх саналыг шийдвэрлэлгүй орхив. Мөн Холбооны Хэрэг эрхлэх газраас санал болгосон Дундад Азийн бүсийн орон нутгуудийг Холбооны эчнээ гишүүнээр элсүүлэх тухай тогтолцоог нэвтрүүлж, дэд хороодын бүрэлдэхүүний заалтын талаарх зүйлд нэмэлт өөрчлөлт оруулж, дараагийн ажлын хорооны хуралд дэвшүүлэхээр болсон бөгөөд дэд хороодын үйл ажиллагааг идэвхжүүлэхийн тулд бусад орон нутгуудаас хүсэх тохиолдолд дэд хорооны хамтран зохицуулагчаар ажиллахыг шийдвэрлэсэн.</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4"/>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Холбооны Хэрэг эрхлэх газрын гол үйл ажиллагааны тайлан</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Хэрэг эрхлэх газраас 1) Гишүүн байгууллагуудын гадаад харилцааны мэргэжилтнүүд хоорондын харилцааг бэхжүүлэхийн тулд 2011 оны 5 сарын 18-20-ны өдрүүдэд </w:t>
      </w:r>
      <w:r w:rsidRPr="0037522B">
        <w:rPr>
          <w:rFonts w:ascii="Times New Roman" w:hAnsi="Times New Roman" w:cs="Times New Roman"/>
          <w:spacing w:val="-5"/>
          <w:sz w:val="20"/>
          <w:szCs w:val="20"/>
          <w:lang w:val="mn-MN"/>
        </w:rPr>
        <w:t xml:space="preserve">NEAR Холбооны гадаад харилцааны мэргэжилтнүүдийн хурлыг зохиож, үүнд 5 улсын 34 байгууллагаас оролцов. 2) Холбооны нэр хүндийг олон улсад бэхжүүлэхийн тулд </w:t>
      </w:r>
      <w:r w:rsidRPr="0037522B">
        <w:rPr>
          <w:rFonts w:ascii="Times New Roman" w:hAnsi="Times New Roman" w:cs="Times New Roman"/>
          <w:sz w:val="20"/>
          <w:szCs w:val="20"/>
          <w:lang w:val="mn-MN"/>
        </w:rPr>
        <w:t xml:space="preserve">AER, UNESCAP зэрэг төрөл бүрийн олон улсын байгууллагуудтай хамтын ажиллагааг тогтоосон. 3) Гишүүн улсаас жил бүр төрийн албан хаагчийг төлөөлөгчөөр ажиллуулж олон улсын байгууллагын бүтцийн шаардлагад нийцсэн тогтолцоотой болсон. 4) Холбоо байгуулагдснаас хойш Холбооны үйл ажиллагаа, үр дүнг нэгтгэсэн </w:t>
      </w:r>
      <w:r w:rsidRPr="0037522B">
        <w:rPr>
          <w:rFonts w:ascii="Times New Roman" w:cs="Times New Roman"/>
          <w:sz w:val="20"/>
          <w:szCs w:val="20"/>
          <w:lang w:val="mn-MN"/>
        </w:rPr>
        <w:t>「</w:t>
      </w:r>
      <w:r w:rsidRPr="0037522B">
        <w:rPr>
          <w:rFonts w:ascii="Times New Roman" w:hAnsi="Times New Roman" w:cs="Times New Roman"/>
          <w:sz w:val="20"/>
          <w:szCs w:val="20"/>
          <w:lang w:val="mn-MN"/>
        </w:rPr>
        <w:t>NEAR эмхэтгэл</w:t>
      </w:r>
      <w:r w:rsidRPr="0037522B">
        <w:rPr>
          <w:rFonts w:ascii="Times New Roman" w:cs="Times New Roman"/>
          <w:sz w:val="20"/>
          <w:szCs w:val="20"/>
          <w:lang w:val="mn-MN"/>
        </w:rPr>
        <w:t>」</w:t>
      </w:r>
      <w:r w:rsidRPr="0037522B">
        <w:rPr>
          <w:rFonts w:ascii="Times New Roman" w:hAnsi="Times New Roman" w:cs="Times New Roman"/>
          <w:sz w:val="20"/>
          <w:szCs w:val="20"/>
          <w:lang w:val="mn-MN"/>
        </w:rPr>
        <w:t xml:space="preserve">гаргасан. Мөн NEAR News сэтгүүлийг 2 сар тутамд 6 улсын хэлээр хэвлэн гаргаж тараасан. 5)Зүүн хойд Азийн бүсийн ногоон хөгжлийн хамтын ажиллагаа” хэмээх сэдвээр 2010 оны 10 сарын 26-ны өдөр 5 улсын эдийнг засаг, байгаль орчны холбогдох эрдэмтэн мэргэжилтнүүд зэрэг 300 гаруй хүн оролцсон </w:t>
      </w:r>
      <w:r w:rsidRPr="0037522B">
        <w:rPr>
          <w:rFonts w:ascii="Times New Roman" w:cs="Times New Roman"/>
          <w:spacing w:val="-5"/>
          <w:sz w:val="20"/>
          <w:szCs w:val="20"/>
          <w:lang w:val="mn-MN"/>
        </w:rPr>
        <w:t>「</w:t>
      </w:r>
      <w:r w:rsidRPr="0037522B">
        <w:rPr>
          <w:rFonts w:ascii="Times New Roman" w:hAnsi="Times New Roman" w:cs="Times New Roman"/>
          <w:spacing w:val="-5"/>
          <w:sz w:val="20"/>
          <w:szCs w:val="20"/>
          <w:lang w:val="mn-MN"/>
        </w:rPr>
        <w:t>NEAR олон улсын эдийн засгийн форум</w:t>
      </w:r>
      <w:r w:rsidRPr="0037522B">
        <w:rPr>
          <w:rFonts w:ascii="Times New Roman" w:cs="Times New Roman"/>
          <w:spacing w:val="-5"/>
          <w:sz w:val="20"/>
          <w:szCs w:val="20"/>
          <w:lang w:val="mn-MN"/>
        </w:rPr>
        <w:t>」</w:t>
      </w:r>
      <w:r w:rsidRPr="0037522B">
        <w:rPr>
          <w:rFonts w:ascii="Times New Roman" w:hAnsi="Times New Roman" w:cs="Times New Roman"/>
          <w:spacing w:val="-5"/>
          <w:sz w:val="20"/>
          <w:szCs w:val="20"/>
          <w:lang w:val="mn-MN"/>
        </w:rPr>
        <w:t>зохиосон. 6</w:t>
      </w:r>
      <w:r w:rsidRPr="0037522B">
        <w:rPr>
          <w:rFonts w:ascii="Times New Roman" w:hAnsi="Times New Roman" w:cs="Times New Roman"/>
          <w:sz w:val="20"/>
          <w:szCs w:val="20"/>
          <w:lang w:val="mn-MN"/>
        </w:rPr>
        <w:t xml:space="preserve">) Ажлын хорооны хурал ба бүгд хурлын үйл ажиллагааг саадгүй явуулах бэлтгэлийн тулд Холбооны тэргүүлэгч байгууллагатай нягт харилцаатай байж туслан дэмжиж байна.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4"/>
        </w:numPr>
        <w:autoSpaceDE w:val="0"/>
        <w:autoSpaceDN w:val="0"/>
        <w:adjustRightInd w:val="0"/>
        <w:spacing w:before="0" w:beforeAutospacing="0" w:after="0" w:afterAutospacing="0"/>
        <w:jc w:val="both"/>
        <w:rPr>
          <w:rFonts w:ascii="Times New Roman" w:hAnsi="Times New Roman" w:cs="Times New Roman"/>
          <w:b/>
          <w:sz w:val="20"/>
          <w:szCs w:val="20"/>
          <w:lang w:val="mn-MN"/>
        </w:rPr>
      </w:pPr>
      <w:r w:rsidRPr="0037522B">
        <w:rPr>
          <w:rFonts w:ascii="Times New Roman" w:hAnsi="Times New Roman" w:cs="Times New Roman"/>
          <w:b/>
          <w:sz w:val="20"/>
          <w:szCs w:val="20"/>
          <w:lang w:val="mn-MN"/>
        </w:rPr>
        <w:t>Дэд хороодын үйл ажиллагааны тайлан</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Эдийн засаг, худалдааны дэд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Солонгос улсын Кёнсанбүг муж 2009 оны 12 сард Гүми хотноо эдийн засаг, худалдааны мэргэжилтнүүдийн хурлыг зохиосон. Хуралд 5 улсын 50 гаруй эдийн засгийн холбогдох мэргэжилтнүүд оролцож, орон нутгууд эдийн засгийн хямралыг давсан арга туршлага болон эдийн засаг, худалдааны хорооны үйл ажиллагааг идэвхжүүлэх арга зам зэргийн талаар илтгэл, хэлэлцүүлэг явагдсан. Мөн 2010 оны 9 сард FAO Ази номхон далайн бүсийн чуулган, 2010 оны 10 сард Кёнжү хотноо G20 сангийн яамны сайд, Төв банкны дарга нарын хурал зохиогдсон ба 2012 оны 9-10 сард Зүүн хойд Азийн эдийн засгийн хамтын ажиллагааг идэвхжүүлэх хурлын зэрэгцээ худалдааны уулзалтыг зохиохоор төлөвлөөд байна.</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 </w:t>
      </w: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Байгаль орчны дэд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Япон улсын Тояама муж байгаль орчны дэд хорооны 9-р хурлын дараах үйл ажиллагааны байдлын тайланг орчуулан гишүүн байгууллагуудад тарааж, дэд хорооны тусгайлсан төсөл (элсний нүүдлийг </w:t>
      </w:r>
      <w:r w:rsidRPr="0037522B">
        <w:rPr>
          <w:rFonts w:ascii="Times New Roman" w:hAnsi="Times New Roman" w:cs="Times New Roman"/>
          <w:sz w:val="20"/>
          <w:szCs w:val="20"/>
          <w:lang w:val="mn-MN"/>
        </w:rPr>
        <w:lastRenderedPageBreak/>
        <w:t>өргөн цар хүрээтэй ажиглах тогтолцоог байгуулах, далайн хог, хаягдлын судалгаа) судалгааг явуулж, Японы тэнгисийн эрэг хавийн байгаль орчны хамтын ажиллагааны төв(NPEC)-ийн вэбсайтад тавьсан ба байгаль орчны дэд хорооны 10-р хурлыг 2011 оны намар зохиохоор төлөвлөөд байна.</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Боловсрол.соёлын харилцааны дэд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Япон улсын Шиманэ муж нь ОХУ-ын Приморийн хязгаарын ардын дууны “Ярмарка” хамтлагыг урин тоглуулсан. Мөн Шиманэ мужийн сургуулийн найрал дууны хамтлагынхантай хамтарсан тоглолт зохион байгуулж, “Зүүн хойд азийн олон улсын соёлын арга хэмжээ”-г явуулсан. Зүүн хойд Азийн бүсийн дараах үеийг авч явах залуу боловсон хүчнийг бэлтгэх үүднээс 2011 оны 7 сарын 29-ний өдрөөс 8 сарын 3-ны өдрүүдэд нутгийн соёлтой танилцах, сэдэвт сургалтад оролцох зэрэг соёлын харилцааны хөтөлбөр болох “2011 оны Зүүн хойд Азийн харилцааны жигүүр Шиманэд” арга хэмжээг зохиох төлөвлөгөөтэй байна. </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 </w:t>
      </w: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Гамшгаас сэргийлэх дэд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Япон улсын Хёго мужид 2011 оны 3 сард “Олон улсын яаралтай тусламж” сэдвээр гамшгаас сэргийлэх хорооны 9-р хурал зохиогдож, үүнд 41 мэргэжилтэн оролцсон. 2012 оны 3 сард гамшгаас сэргийлэх хорооны 10-р хурлаар энэ жилийн 3 сард Японы зүүн нутгуудад гарсан хүчтэй газар хөдлөлтөд дэмжлэг үзүүлсэн тухай танилцуулж, “Олон нийтийн гамшгаас сэргийлэх чадварыг сайжруулах” сэдвээр бэлтгэл, сургалт зохиохоор төлөвлөөд байна.</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 </w:t>
      </w: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Шинжлэх ухаан, технологийн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Солонгос улсын Кёнги муж “Биотехнологийг хөгжүүлэх арга зам” сэдвээр 2009 онд шинжлэх ухаан, технологийн хорооны 2-р хурлыг зохиосон. 4 улсын 9 байгууллагын био салбарын 24 төлөөлөгч оролцож, Кёнги мужийн шинжлэх ухаан, технологийн бодлогын танилцуулга, био салбарын олон улсын хамтын ажиллагааны туршлага зэрэг илтгэл тавигдаж, Зүүн хойд Азийн бүсийн био аж үйлдвэрийн салбарын мэдээлэл солилцох болон сүүлийн үеийн технологийн чиг хандлага, мэдээллийг солилцсон.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Далай загасны аж үйлдвэрийн дэд хороо</w:t>
      </w:r>
    </w:p>
    <w:p w:rsidR="0037522B" w:rsidRPr="0037522B" w:rsidRDefault="0037522B" w:rsidP="0037522B">
      <w:pPr>
        <w:pStyle w:val="s0"/>
        <w:ind w:left="67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Хятад улсын Шаньдун муж 2009 онд тус хороог үүсгэн байгуулах хурал зохиож дараагаар нь 2011 онд далай загасны аж үйлдвэрийн хорооны үйл ажиллагааны талаар танилцуулсан. Далайн нөөц баялагийг шинжлэх ухаанчаар ашиглах форумыг 2011 оны 9 сарын 15-18-ны өдрүүдэд Хятад улсын Шаньдун мужийн Ентай хотод зохиож, сэргээгдэх боломжтой далайн нөөцийг боловсруулан гаргах, далйан загас, ургамлын төрлийн судалгааны форум болох ба холбогдох чиглэлийн компани, соёлын газруудаар аялуулна. </w:t>
      </w:r>
    </w:p>
    <w:p w:rsidR="0037522B" w:rsidRPr="0037522B" w:rsidRDefault="0037522B" w:rsidP="0037522B">
      <w:pPr>
        <w:pStyle w:val="s0"/>
        <w:ind w:left="67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Аялал жуулчлалын дэд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Хятад улсын Хэнан муж “Хэнан муж-Солонгосын соёл, аялал жуулчлалын харилцааны жил” арга хэмжээг явуулж, Жөн Жөү-Инчоны чиглэлд тогтмол нислэх хийх” гэрээ байгуулсан ба Жөнжөү Дэлхийн аялал жуулчлалын хотын захирагч нарын форум, Хятадын олон улсын Шар мөрний аялал жуулчлалын фестивалийг амжилттай зохион байгуулсан. 2010 оны 10 сард “Нүүрстөрөгчийн гаралт </w:t>
      </w:r>
      <w:r w:rsidRPr="0037522B">
        <w:rPr>
          <w:rFonts w:ascii="Times New Roman" w:hAnsi="Times New Roman" w:cs="Times New Roman"/>
          <w:sz w:val="20"/>
          <w:szCs w:val="20"/>
          <w:lang w:val="mn-MN"/>
        </w:rPr>
        <w:lastRenderedPageBreak/>
        <w:t xml:space="preserve">багатай аялал жуулчлалыг Зүүн хойд Азиас эхлье” хэмээх сэдвээр Зиа Зуо хотноо гишүүн байгууллагуудын нүүрстөрөгчийн гаралт багатай аялал жуулчлалын бодлогоос танилцуулах зэргээр Зүүн хойд Азийн бүсийн аялал жуулчлалын салбарын хөгжилд хувь нэмэр оруулах аялал жуулчлалын дэд хорооны ээлжит хурлыг зохиов.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5"/>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Эрчим хүч, уур амьсгалын өөрчлөлтийн хороо</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Солонгос улсын Дэгү хот 2012 оны 4 сард тус хороог байгуулсны дараах анхны хурлыг зохионо. Гишүүн байгууллагууд хооронд эрчим хүч уур амьсгалын бодлогын харилцаа ба шилдэг арга туршлагаас таниулахын тулд эрчим хүч уур амьсгалын өөрчлөлтийн форумыг тогтмол зохиож, сэргээгдэх шинэ эрчим хүчний үзэсгэлэнг давхар зохиохоор төлөвлөсөн. Гишүүн байгууллагуудаас өргөнөөр оролцохыг хүссэн.</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Гишүүн байгууллага дэд хороод зэрэг холбооны арга хэмжээ төдийгүй гишүүн байгууллагуудын арга хэмжээнд ч идэвхтэй оролцож бодит харилцаа хамтын ажиллагааг улам бэхжүүлнэ.</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Гишүүн байгууллагуудын илтгэл, хэлэлцүүлэг</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6"/>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Хятад улсын Ниншя Хуйн ӨЗО-д 2012 оны Зүүн хойд Азийн бүсийн цэцэрлэгжүүлэлт, тарималжуулалтын аж үйлдвэрийн семинар зохиох санал</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Зүүн хойд Азийн бүсийн газар тариалан шинжлэх ухаан технологийн харилцаа, хамтын ажиллагааг гүнзгийрүүлэхийн тулд 9-р Бүгд хурлын зэрэгцээ “Зүүн хойд Азийн бүсийн цэцэрлэгжүүлэлт, тарималжуулалтын аж үйлдвэрийн семинар” зохиохыг санал болгож, үүнийг хэлэлцсэний эцэст 2012 оны 7 сард зохиож, гишүүн байгууллагуудаас холбогдох мэргэжилтнүүдийг өргөнөөр оролцуулахаар болов.</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6"/>
        </w:numPr>
        <w:autoSpaceDE w:val="0"/>
        <w:autoSpaceDN w:val="0"/>
        <w:adjustRightInd w:val="0"/>
        <w:spacing w:before="0" w:beforeAutospacing="0" w:after="0" w:afterAutospacing="0"/>
        <w:jc w:val="both"/>
        <w:rPr>
          <w:rFonts w:ascii="Times New Roman" w:hAnsi="Times New Roman" w:cs="Times New Roman"/>
          <w:b/>
          <w:bCs/>
          <w:sz w:val="20"/>
          <w:szCs w:val="20"/>
          <w:lang w:val="mn-MN"/>
        </w:rPr>
      </w:pPr>
      <w:r w:rsidRPr="0037522B">
        <w:rPr>
          <w:rFonts w:ascii="Times New Roman" w:hAnsi="Times New Roman" w:cs="Times New Roman"/>
          <w:b/>
          <w:bCs/>
          <w:sz w:val="20"/>
          <w:szCs w:val="20"/>
          <w:lang w:val="mn-MN"/>
        </w:rPr>
        <w:t>Солонгос улсын Жэжү мужийн NEAR Холбоог хөгжүүлэх тухай санал</w:t>
      </w:r>
    </w:p>
    <w:p w:rsidR="0037522B" w:rsidRPr="0037522B" w:rsidRDefault="0037522B" w:rsidP="0037522B">
      <w:pPr>
        <w:pStyle w:val="s0"/>
        <w:ind w:left="400"/>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7"/>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Дэд хороодыг байгуулах журмыг тогтоох</w:t>
      </w:r>
    </w:p>
    <w:p w:rsidR="0037522B" w:rsidRPr="0037522B" w:rsidRDefault="0037522B" w:rsidP="0037522B">
      <w:pPr>
        <w:pStyle w:val="s0"/>
        <w:ind w:left="135"/>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Дэд хороог бүтцийн зохион байгуулалттай байгуулахын тулд үндсэн дүрэмд дэд хорооны журмыг нэмэн оруулж, дэд хороо байгуулахад тавигдах шаардлага, зохицуулагч байгууллагын үүрэг зэргийн талаар заалт оруулах</w:t>
      </w:r>
    </w:p>
    <w:p w:rsidR="0037522B" w:rsidRPr="0037522B" w:rsidRDefault="0037522B" w:rsidP="0037522B">
      <w:pPr>
        <w:pStyle w:val="s0"/>
        <w:ind w:left="135"/>
        <w:jc w:val="both"/>
        <w:rPr>
          <w:rFonts w:ascii="Times New Roman" w:hAnsi="Times New Roman" w:cs="Times New Roman"/>
          <w:sz w:val="20"/>
          <w:szCs w:val="20"/>
          <w:lang w:val="mn-MN"/>
        </w:rPr>
      </w:pPr>
    </w:p>
    <w:p w:rsidR="0037522B" w:rsidRPr="0037522B" w:rsidRDefault="0037522B" w:rsidP="0037522B">
      <w:pPr>
        <w:pStyle w:val="s0"/>
        <w:widowControl w:val="0"/>
        <w:numPr>
          <w:ilvl w:val="0"/>
          <w:numId w:val="7"/>
        </w:numPr>
        <w:autoSpaceDE w:val="0"/>
        <w:autoSpaceDN w:val="0"/>
        <w:adjustRightInd w:val="0"/>
        <w:spacing w:before="0" w:beforeAutospacing="0" w:after="0" w:afterAutospacing="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Гишүүн байгууллагуудын хуралд оролцох хүндрэлийг багасгахын тулд Холбооны гадаад харилцааны мэргэжилтнүүдийн хурал, ажлын хорооны хурлын хугацаанд дэд хороодын хурлыг зэрэг зохиох</w:t>
      </w: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lastRenderedPageBreak/>
        <w:t xml:space="preserve">Дэд хорооны хурлыг зохиоход нэг сэдвийг тогтож, тэр талаар гишүүн байгууллагууд илтгэх болон хэлэлцэх шаардлагатай бөгөөд хуралд оролцогч байгууллагуудын хэл ойлголцуулахын тулд Working Language хэрэгтэй гэсэн саналын дагуу хэлэлцсний эцэст шийдвэрлэв.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b/>
          <w:bCs/>
          <w:sz w:val="20"/>
          <w:szCs w:val="20"/>
          <w:lang w:val="mn-MN"/>
        </w:rPr>
        <w:t xml:space="preserve">3. Монгол улсын Орхон аймгийн гадаад харилцаа, хамтын ажиллагааны туршлага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Монгол улсын Орхон аймаг Орос, Хятадын ӨМӨЗО, Болгар, Герман, Унгар, Америк зэрэг улсуудаас авахуулаад Холбооны гишүүн байгууллагуудтай олон улсын харилцаа, хамтын ажиллагааг явуулж байгаа бөгөөд олон улсын харилцаа, хамтын ажиллагааг өргөжүүлэн хөгжүүлэх, олон улсын харилцаанд нутгийн хувийн хэвшил, байгууллагуудын оролцоог нэмэгдүүлж үр бүтээмжийг дээшлүүлэх талаар хичээн ажиллаж буй талаар илтгэсэн. </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ind w:left="280"/>
        <w:jc w:val="both"/>
        <w:rPr>
          <w:rFonts w:ascii="Times New Roman" w:eastAsia="MS Mincho" w:hAnsi="Times New Roman" w:cs="Times New Roman"/>
          <w:b/>
          <w:bCs/>
          <w:sz w:val="20"/>
          <w:szCs w:val="20"/>
          <w:lang w:val="mn-MN"/>
        </w:rPr>
      </w:pPr>
      <w:r w:rsidRPr="0037522B">
        <w:rPr>
          <w:rFonts w:ascii="Times New Roman" w:eastAsia="맑은 고딕" w:hAnsi="Times New Roman" w:cs="Times New Roman"/>
          <w:b/>
          <w:bCs/>
          <w:sz w:val="20"/>
          <w:szCs w:val="20"/>
          <w:lang w:val="mn-MN"/>
        </w:rPr>
        <w:t>Ажлын хорооны хурлын санал, хэлэлцэх з</w:t>
      </w:r>
      <w:r w:rsidRPr="0037522B">
        <w:rPr>
          <w:rFonts w:ascii="Times New Roman" w:eastAsia="MS Mincho" w:hAnsi="Times New Roman" w:cs="Times New Roman"/>
          <w:b/>
          <w:bCs/>
          <w:sz w:val="20"/>
          <w:szCs w:val="20"/>
          <w:lang w:val="mn-MN"/>
        </w:rPr>
        <w:t>үйл</w:t>
      </w:r>
    </w:p>
    <w:p w:rsidR="0037522B" w:rsidRPr="0037522B" w:rsidRDefault="0037522B" w:rsidP="0037522B">
      <w:pPr>
        <w:pStyle w:val="s0"/>
        <w:ind w:left="280"/>
        <w:jc w:val="both"/>
        <w:rPr>
          <w:rFonts w:ascii="Times New Roman" w:eastAsia="맑은 고딕" w:hAnsi="Times New Roman" w:cs="Times New Roman"/>
          <w:sz w:val="20"/>
          <w:szCs w:val="20"/>
          <w:lang w:val="mn-MN"/>
        </w:rPr>
      </w:pPr>
    </w:p>
    <w:p w:rsidR="0037522B" w:rsidRPr="0037522B" w:rsidRDefault="0037522B" w:rsidP="0037522B">
      <w:pPr>
        <w:pStyle w:val="s0"/>
        <w:widowControl w:val="0"/>
        <w:numPr>
          <w:ilvl w:val="0"/>
          <w:numId w:val="8"/>
        </w:numPr>
        <w:autoSpaceDE w:val="0"/>
        <w:autoSpaceDN w:val="0"/>
        <w:adjustRightInd w:val="0"/>
        <w:spacing w:before="0" w:beforeAutospacing="0" w:after="0" w:afterAutospacing="0"/>
        <w:jc w:val="both"/>
        <w:rPr>
          <w:rFonts w:ascii="Times New Roman" w:hAnsi="Times New Roman" w:cs="Times New Roman"/>
          <w:b/>
          <w:bCs/>
          <w:sz w:val="20"/>
          <w:szCs w:val="20"/>
          <w:lang w:val="mn-MN"/>
        </w:rPr>
      </w:pPr>
      <w:r w:rsidRPr="0037522B">
        <w:rPr>
          <w:rFonts w:ascii="Times New Roman" w:hAnsi="Times New Roman" w:cs="Times New Roman"/>
          <w:b/>
          <w:bCs/>
          <w:sz w:val="20"/>
          <w:szCs w:val="20"/>
          <w:lang w:val="mn-MN"/>
        </w:rPr>
        <w:t>2014 оны Холбооны 10-р Бүгд хурлыг Солонгос улсын Жолланам мужид зохиох хүсэлт</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Солонгос улсын Жолланам муж том хэмжээний олон улсын арга хэмжээзохиох арга туршлагаар дамжуулан орон нутгийн глобалчлалд гол үүрэгтэй </w:t>
      </w:r>
      <w:r w:rsidRPr="0037522B">
        <w:rPr>
          <w:rFonts w:ascii="Times New Roman" w:hAnsi="Times New Roman" w:cs="Times New Roman"/>
          <w:spacing w:val="-5"/>
          <w:sz w:val="20"/>
          <w:szCs w:val="20"/>
          <w:lang w:val="mn-MN"/>
        </w:rPr>
        <w:t>NEAR Холбооны бүгд хурлыг өөрийн мужид зохиох хүсэлт тавьсныг ажлын хорооны хуралд оролцогчид хэлэлцсний эцэст 2012 оны 9-р бүгд хуралд албан ёсоор дэвшүүлж, хэлэлцүүлэхээр шийдвэрлэв.</w:t>
      </w:r>
      <w:r w:rsidRPr="0037522B">
        <w:rPr>
          <w:rFonts w:ascii="Times New Roman" w:hAnsi="Times New Roman" w:cs="Times New Roman"/>
          <w:sz w:val="20"/>
          <w:szCs w:val="20"/>
          <w:lang w:val="mn-MN"/>
        </w:rPr>
        <w:t xml:space="preserve"> </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2 Солонгос улсын Кёнсанбүг мужийн Холбооны Хэрэг эрхлэх газрыг үргэлжлүүлэн ажиллуулах болон байнгын байршуулах санал</w:t>
      </w:r>
    </w:p>
    <w:p w:rsidR="0037522B" w:rsidRPr="0037522B" w:rsidRDefault="0037522B" w:rsidP="0037522B">
      <w:pPr>
        <w:pStyle w:val="s0"/>
        <w:jc w:val="both"/>
        <w:rPr>
          <w:rFonts w:ascii="Times New Roman" w:hAnsi="Times New Roman" w:cs="Times New Roman"/>
          <w:spacing w:val="-10"/>
          <w:sz w:val="20"/>
          <w:szCs w:val="20"/>
          <w:lang w:val="mn-MN"/>
        </w:rPr>
      </w:pPr>
    </w:p>
    <w:p w:rsidR="0037522B" w:rsidRPr="0037522B" w:rsidRDefault="0037522B" w:rsidP="0037522B">
      <w:pPr>
        <w:pStyle w:val="s0"/>
        <w:jc w:val="both"/>
        <w:rPr>
          <w:rFonts w:ascii="Times New Roman" w:hAnsi="Times New Roman" w:cs="Times New Roman"/>
          <w:spacing w:val="-10"/>
          <w:sz w:val="20"/>
          <w:szCs w:val="20"/>
          <w:lang w:val="mn-MN"/>
        </w:rPr>
      </w:pPr>
      <w:r w:rsidRPr="0037522B">
        <w:rPr>
          <w:rFonts w:ascii="Times New Roman" w:hAnsi="Times New Roman" w:cs="Times New Roman"/>
          <w:spacing w:val="-10"/>
          <w:sz w:val="20"/>
          <w:szCs w:val="20"/>
          <w:lang w:val="mn-MN"/>
        </w:rPr>
        <w:t xml:space="preserve">Кёнсанбүг муж 2004 онд Холбооны Хэрэг эрхлэх газрыг байршуулсны дараа “Хэрэг эрхлэх газрыг байгуулах болон үйл ажиллагаанд дэмжлэг үзүүлэх журам”-ыг гарган байгууллагын үйл ажиллагааг тогтвортой явуулахын тулд санхүү, хүн хүчинд идэвхтэй дэмжлэг үзүүлж цаашид Холбооны Хэрэг эрхлэх газрыг үргэлжлүүлэн ажиллуулах болон байнгын байршуулах санал тавьсан. Үүнд хуралд оролцогч байгууллагууд Кёнсанбүг мужийн зүтгэлийг өндөр үнэлж, хэлэлцсний эцэст Холбооны Хэрэг эрхлэх газрыг үргэлжлүүлэн ажиллуулах тухай 2012 оны 9-р Бүгд хуралд албан ёсоор санал дэвшүүлж хэлэлцүүлэхээр шийдвэрлэсэн.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pacing w:val="-10"/>
          <w:sz w:val="20"/>
          <w:szCs w:val="20"/>
          <w:lang w:val="mn-MN"/>
        </w:rPr>
        <w:t xml:space="preserve">Цаашид Кёнсанбүг муж Хэрэг эрхлэх газрыг байнгын ажиллуулах тухай саналаа илэрхийлсэн.  </w:t>
      </w:r>
    </w:p>
    <w:p w:rsidR="0037522B" w:rsidRPr="0037522B" w:rsidRDefault="0037522B" w:rsidP="0037522B">
      <w:pPr>
        <w:pStyle w:val="s0"/>
        <w:jc w:val="both"/>
        <w:rPr>
          <w:rFonts w:ascii="Times New Roman" w:hAnsi="Times New Roman" w:cs="Times New Roman"/>
          <w:b/>
          <w:bCs/>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b/>
          <w:bCs/>
          <w:sz w:val="20"/>
          <w:szCs w:val="20"/>
          <w:lang w:val="mn-MN"/>
        </w:rPr>
        <w:t xml:space="preserve">3. Дэд хороог шинээр байгуулах санал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pacing w:val="-10"/>
          <w:sz w:val="20"/>
          <w:szCs w:val="20"/>
          <w:lang w:val="mn-MN"/>
        </w:rPr>
        <w:t xml:space="preserve"> 1) Солонгос улсын Чүнчонбүг муж, Жолланам мужаас тус тус санал болгосон эмчилгээний аж үйлдвэрийн дэд хороо, газар тариалангийн дэд хороог шинээр байгуулах шийдвэр гарсан.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pacing w:val="-10"/>
          <w:sz w:val="20"/>
          <w:szCs w:val="20"/>
          <w:lang w:val="mn-MN"/>
        </w:rPr>
        <w:lastRenderedPageBreak/>
        <w:t xml:space="preserve"> 2) Зохицуулагч байгууллага нь дэд хорооны үйл ажиллагааг идэвхжүүлэхийн тулд дэд хороог байгуулах болон ажиллуулах журмыг сахин мөрдөж, дараагийн бүгд хурал хүртэл дэд хорооны үйл ажиллагааны талаарх санал бодол, шаардлага зэргийг гишүүн байгууллагуудаас авч, цаашдын үйл ажиллагааны чиг хандлагын талаар дараагийн бүгд хуралд тайлагнана.</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b/>
          <w:bCs/>
          <w:sz w:val="20"/>
          <w:szCs w:val="20"/>
          <w:lang w:val="mn-MN"/>
        </w:rPr>
        <w:t xml:space="preserve">4. Дэд хороог байгуулах болон ажиллуулах журамд нэмэлт өөрчлөлт оруулах санал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 xml:space="preserve">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Хэрэг эрхлэх газраас 2010 оны 8-р бүгд хурлаар шийдвэрлэсэн хамтарсан зохицуулагчийн тогтолцоо, дэд хорооны бүрэлдэхүүний заалтад засвар оруулахыг шийдвэрлэсэн. Иймд ажлын хорооны хурлаас бүгд хурлын шийдвэр болон гишүүн байгууллагуудын санал зэрэгт үндэслэн хуралд оролцогч гишүүн байгууллагууд хэлэлцсэний эцэст дэд хороог ажиллуулах болон байгуулах тухай журамд нэмэлт өөрчлөлт оруулж, дараагийн бүгд хуралд энэ талаар тайлагнана.</w:t>
      </w:r>
    </w:p>
    <w:tbl>
      <w:tblPr>
        <w:tblW w:w="9513" w:type="dxa"/>
        <w:tblInd w:w="3" w:type="dxa"/>
        <w:tblLayout w:type="fixed"/>
        <w:tblCellMar>
          <w:left w:w="0" w:type="dxa"/>
          <w:right w:w="0" w:type="dxa"/>
        </w:tblCellMar>
        <w:tblLook w:val="0000"/>
      </w:tblPr>
      <w:tblGrid>
        <w:gridCol w:w="4757"/>
        <w:gridCol w:w="4756"/>
      </w:tblGrid>
      <w:tr w:rsidR="0037522B" w:rsidRPr="0037522B" w:rsidTr="00035EDE">
        <w:tblPrEx>
          <w:tblCellMar>
            <w:top w:w="0" w:type="dxa"/>
            <w:left w:w="0" w:type="dxa"/>
            <w:bottom w:w="0" w:type="dxa"/>
            <w:right w:w="0" w:type="dxa"/>
          </w:tblCellMar>
        </w:tblPrEx>
        <w:trPr>
          <w:trHeight w:val="353"/>
        </w:trPr>
        <w:tc>
          <w:tcPr>
            <w:tcW w:w="4757"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eastAsia="MS Mincho" w:hAnsi="Times New Roman" w:cs="Times New Roman"/>
                <w:sz w:val="20"/>
                <w:szCs w:val="20"/>
                <w:lang w:val="mn-MN"/>
              </w:rPr>
            </w:pPr>
            <w:r w:rsidRPr="0037522B">
              <w:rPr>
                <w:rFonts w:ascii="Times New Roman" w:eastAsia="MS Mincho" w:hAnsi="Times New Roman" w:cs="Times New Roman"/>
                <w:b/>
                <w:bCs/>
                <w:sz w:val="20"/>
                <w:szCs w:val="20"/>
                <w:lang w:val="mn-MN"/>
              </w:rPr>
              <w:t>Өөрчлөлт оруулахын өмнө</w:t>
            </w:r>
          </w:p>
        </w:tc>
        <w:tc>
          <w:tcPr>
            <w:tcW w:w="4756"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eastAsia="MS Mincho" w:hAnsi="Times New Roman" w:cs="Times New Roman"/>
                <w:sz w:val="20"/>
                <w:szCs w:val="20"/>
                <w:lang w:val="mn-MN"/>
              </w:rPr>
            </w:pPr>
            <w:r w:rsidRPr="0037522B">
              <w:rPr>
                <w:rFonts w:ascii="Times New Roman" w:eastAsia="MS Mincho" w:hAnsi="Times New Roman" w:cs="Times New Roman"/>
                <w:b/>
                <w:bCs/>
                <w:sz w:val="20"/>
                <w:szCs w:val="20"/>
                <w:lang w:val="mn-MN"/>
              </w:rPr>
              <w:t>Өөрчлөлт оруулсны дараа</w:t>
            </w:r>
          </w:p>
        </w:tc>
      </w:tr>
      <w:tr w:rsidR="0037522B" w:rsidRPr="0037522B" w:rsidTr="00035EDE">
        <w:tblPrEx>
          <w:tblCellMar>
            <w:top w:w="0" w:type="dxa"/>
            <w:left w:w="0" w:type="dxa"/>
            <w:bottom w:w="0" w:type="dxa"/>
            <w:right w:w="0" w:type="dxa"/>
          </w:tblCellMar>
        </w:tblPrEx>
        <w:trPr>
          <w:trHeight w:val="1305"/>
        </w:trPr>
        <w:tc>
          <w:tcPr>
            <w:tcW w:w="4757" w:type="dxa"/>
            <w:tcBorders>
              <w:top w:val="single" w:sz="2" w:space="0" w:color="000000"/>
              <w:left w:val="single" w:sz="2" w:space="0" w:color="000000"/>
              <w:bottom w:val="nil"/>
              <w:right w:val="single" w:sz="2" w:space="0" w:color="000000"/>
            </w:tcBorders>
            <w:vAlign w:val="center"/>
          </w:tcPr>
          <w:p w:rsidR="0037522B" w:rsidRPr="0037522B" w:rsidRDefault="0037522B" w:rsidP="0037522B">
            <w:pPr>
              <w:pStyle w:val="s0"/>
              <w:spacing w:line="276" w:lineRule="auto"/>
              <w:ind w:left="98" w:hangingChars="50" w:hanging="98"/>
              <w:jc w:val="both"/>
              <w:rPr>
                <w:rFonts w:ascii="Times New Roman" w:hAnsi="Times New Roman" w:cs="Times New Roman"/>
                <w:color w:val="000000"/>
                <w:sz w:val="20"/>
                <w:szCs w:val="20"/>
                <w:lang w:val="mn-MN"/>
              </w:rPr>
            </w:pPr>
            <w:r w:rsidRPr="0037522B">
              <w:rPr>
                <w:rFonts w:ascii="Times New Roman" w:hAnsi="Times New Roman" w:cs="Times New Roman"/>
                <w:b/>
                <w:bCs/>
                <w:color w:val="000000"/>
                <w:sz w:val="20"/>
                <w:szCs w:val="20"/>
                <w:lang w:val="mn-MN"/>
              </w:rPr>
              <w:t xml:space="preserve">5-р зүйл(Үйл ажиллагаа) </w:t>
            </w:r>
            <w:r w:rsidRPr="0037522B">
              <w:rPr>
                <w:rFonts w:ascii="Times New Roman" w:hAnsi="Times New Roman" w:cs="Times New Roman"/>
                <w:color w:val="000000"/>
                <w:sz w:val="20"/>
                <w:szCs w:val="20"/>
                <w:lang w:val="mn-MN"/>
              </w:rPr>
              <w:t xml:space="preserve">1. Дэд хороод бүрийн </w:t>
            </w:r>
            <w:r w:rsidRPr="0037522B">
              <w:rPr>
                <w:rFonts w:ascii="Times New Roman" w:hAnsi="Times New Roman" w:cs="Times New Roman"/>
                <w:color w:val="000000"/>
                <w:spacing w:val="6"/>
                <w:sz w:val="20"/>
                <w:szCs w:val="20"/>
                <w:lang w:val="mn-MN"/>
              </w:rPr>
              <w:t xml:space="preserve">харилцаа холбоо, зохицуулалт, үйл ажиллагааг </w:t>
            </w:r>
            <w:r w:rsidRPr="0037522B">
              <w:rPr>
                <w:rFonts w:ascii="Times New Roman" w:hAnsi="Times New Roman" w:cs="Times New Roman"/>
                <w:color w:val="000000"/>
                <w:spacing w:val="4"/>
                <w:sz w:val="20"/>
                <w:szCs w:val="20"/>
                <w:lang w:val="mn-MN"/>
              </w:rPr>
              <w:t xml:space="preserve">хариуцсан нэг байгууллага/цаашид зохицуулагч </w:t>
            </w:r>
            <w:r w:rsidRPr="0037522B">
              <w:rPr>
                <w:rFonts w:ascii="Times New Roman" w:hAnsi="Times New Roman" w:cs="Times New Roman"/>
                <w:color w:val="000000"/>
                <w:sz w:val="20"/>
                <w:szCs w:val="20"/>
                <w:lang w:val="mn-MN"/>
              </w:rPr>
              <w:t>байгууллага гэх/ байна</w:t>
            </w:r>
          </w:p>
          <w:p w:rsidR="0037522B" w:rsidRPr="0037522B" w:rsidRDefault="0037522B" w:rsidP="0037522B">
            <w:pPr>
              <w:pStyle w:val="s0"/>
              <w:jc w:val="both"/>
              <w:rPr>
                <w:rFonts w:ascii="Times New Roman" w:hAnsi="Times New Roman" w:cs="Times New Roman"/>
                <w:sz w:val="20"/>
                <w:szCs w:val="20"/>
                <w:lang w:val="mn-MN"/>
              </w:rPr>
            </w:pPr>
          </w:p>
        </w:tc>
        <w:tc>
          <w:tcPr>
            <w:tcW w:w="4756" w:type="dxa"/>
            <w:tcBorders>
              <w:top w:val="single" w:sz="2" w:space="0" w:color="000000"/>
              <w:left w:val="single" w:sz="2" w:space="0" w:color="000000"/>
              <w:bottom w:val="nil"/>
              <w:right w:val="single" w:sz="2" w:space="0" w:color="000000"/>
            </w:tcBorders>
            <w:vAlign w:val="center"/>
          </w:tcPr>
          <w:p w:rsidR="0037522B" w:rsidRPr="0037522B" w:rsidRDefault="0037522B" w:rsidP="0037522B">
            <w:pPr>
              <w:pStyle w:val="s0"/>
              <w:jc w:val="both"/>
              <w:rPr>
                <w:rFonts w:ascii="Times New Roman" w:eastAsia="맑은 고딕" w:hAnsi="Times New Roman" w:cs="Times New Roman"/>
                <w:sz w:val="20"/>
                <w:szCs w:val="20"/>
                <w:lang w:val="mn-MN"/>
              </w:rPr>
            </w:pPr>
            <w:r w:rsidRPr="0037522B">
              <w:rPr>
                <w:rFonts w:ascii="Times New Roman" w:hAnsi="Times New Roman" w:cs="Times New Roman"/>
                <w:b/>
                <w:bCs/>
                <w:color w:val="000000"/>
                <w:sz w:val="20"/>
                <w:szCs w:val="20"/>
                <w:lang w:val="mn-MN"/>
              </w:rPr>
              <w:t xml:space="preserve">5-р зүйл(Үйл ажиллагаа) </w:t>
            </w:r>
            <w:r w:rsidRPr="0037522B">
              <w:rPr>
                <w:rFonts w:ascii="Times New Roman" w:hAnsi="Times New Roman" w:cs="Times New Roman"/>
                <w:sz w:val="20"/>
                <w:szCs w:val="20"/>
                <w:lang w:val="mn-MN"/>
              </w:rPr>
              <w:t xml:space="preserve">1. </w:t>
            </w:r>
            <w:r w:rsidRPr="0037522B">
              <w:rPr>
                <w:rFonts w:ascii="Times New Roman" w:eastAsia="MS Mincho" w:hAnsi="Times New Roman" w:cs="Times New Roman"/>
                <w:sz w:val="20"/>
                <w:szCs w:val="20"/>
                <w:lang w:val="mn-MN"/>
              </w:rPr>
              <w:t>Ө</w:t>
            </w:r>
            <w:r w:rsidRPr="0037522B">
              <w:rPr>
                <w:rFonts w:ascii="Times New Roman" w:eastAsia="맑은 고딕" w:hAnsi="Times New Roman" w:cs="Times New Roman"/>
                <w:sz w:val="20"/>
                <w:szCs w:val="20"/>
                <w:lang w:val="mn-MN"/>
              </w:rPr>
              <w:t>өрчлөлт оруулахын өмнөхтэй адил</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p>
        </w:tc>
      </w:tr>
      <w:tr w:rsidR="0037522B" w:rsidRPr="0037522B" w:rsidTr="00035EDE">
        <w:tblPrEx>
          <w:tblCellMar>
            <w:top w:w="0" w:type="dxa"/>
            <w:left w:w="0" w:type="dxa"/>
            <w:bottom w:w="0" w:type="dxa"/>
            <w:right w:w="0" w:type="dxa"/>
          </w:tblCellMar>
        </w:tblPrEx>
        <w:trPr>
          <w:trHeight w:val="969"/>
        </w:trPr>
        <w:tc>
          <w:tcPr>
            <w:tcW w:w="4757" w:type="dxa"/>
            <w:tcBorders>
              <w:top w:val="nil"/>
              <w:left w:val="single" w:sz="2" w:space="0" w:color="000000"/>
              <w:bottom w:val="nil"/>
              <w:right w:val="single" w:sz="2" w:space="0" w:color="000000"/>
            </w:tcBorders>
            <w:vAlign w:val="center"/>
          </w:tcPr>
          <w:p w:rsidR="0037522B" w:rsidRPr="0037522B" w:rsidRDefault="0037522B" w:rsidP="0037522B">
            <w:pPr>
              <w:pStyle w:val="s0"/>
              <w:spacing w:line="276" w:lineRule="auto"/>
              <w:ind w:leftChars="50" w:left="100"/>
              <w:jc w:val="both"/>
              <w:rPr>
                <w:rFonts w:ascii="Times New Roman" w:hAnsi="Times New Roman" w:cs="Times New Roman"/>
                <w:color w:val="FF0000"/>
                <w:sz w:val="20"/>
                <w:szCs w:val="20"/>
                <w:u w:val="single"/>
                <w:lang w:val="mn-MN"/>
              </w:rPr>
            </w:pPr>
            <w:r w:rsidRPr="0037522B">
              <w:rPr>
                <w:rFonts w:ascii="Times New Roman" w:hAnsi="Times New Roman" w:cs="Times New Roman"/>
                <w:color w:val="FF0000"/>
                <w:sz w:val="20"/>
                <w:szCs w:val="20"/>
                <w:u w:val="single"/>
                <w:lang w:val="mn-MN"/>
              </w:rPr>
              <w:t>2.</w:t>
            </w:r>
            <w:r w:rsidRPr="0037522B">
              <w:rPr>
                <w:rFonts w:ascii="Times New Roman" w:hAnsi="Times New Roman" w:cs="Times New Roman"/>
                <w:color w:val="FF0000"/>
                <w:spacing w:val="12"/>
                <w:sz w:val="20"/>
                <w:szCs w:val="20"/>
                <w:u w:val="single"/>
                <w:lang w:val="mn-MN"/>
              </w:rPr>
              <w:t xml:space="preserve"> Зохицуулагч байгууллагын хугацаа 2 жил </w:t>
            </w:r>
            <w:r w:rsidRPr="0037522B">
              <w:rPr>
                <w:rFonts w:ascii="Times New Roman" w:hAnsi="Times New Roman" w:cs="Times New Roman"/>
                <w:color w:val="FF0000"/>
                <w:sz w:val="20"/>
                <w:szCs w:val="20"/>
                <w:u w:val="single"/>
                <w:lang w:val="mn-MN"/>
              </w:rPr>
              <w:t>бөгөөд үргэлжлүүлэн ажиллаж болно.</w:t>
            </w:r>
          </w:p>
          <w:p w:rsidR="0037522B" w:rsidRPr="0037522B" w:rsidRDefault="0037522B" w:rsidP="0037522B">
            <w:pPr>
              <w:pStyle w:val="s0"/>
              <w:spacing w:line="276" w:lineRule="auto"/>
              <w:ind w:leftChars="50" w:left="100"/>
              <w:jc w:val="both"/>
              <w:rPr>
                <w:rFonts w:ascii="Times New Roman" w:hAnsi="Times New Roman" w:cs="Times New Roman"/>
                <w:sz w:val="20"/>
                <w:szCs w:val="20"/>
                <w:lang w:val="mn-MN"/>
              </w:rPr>
            </w:pPr>
          </w:p>
        </w:tc>
        <w:tc>
          <w:tcPr>
            <w:tcW w:w="4756" w:type="dxa"/>
            <w:tcBorders>
              <w:top w:val="nil"/>
              <w:left w:val="single" w:sz="2" w:space="0" w:color="000000"/>
              <w:bottom w:val="nil"/>
              <w:right w:val="single" w:sz="2" w:space="0" w:color="000000"/>
            </w:tcBorders>
            <w:vAlign w:val="center"/>
          </w:tcPr>
          <w:p w:rsidR="0037522B" w:rsidRPr="0037522B" w:rsidRDefault="0037522B" w:rsidP="0037522B">
            <w:pPr>
              <w:spacing w:line="276" w:lineRule="auto"/>
              <w:ind w:left="100" w:hangingChars="50" w:hanging="100"/>
              <w:rPr>
                <w:rFonts w:ascii="Times New Roman" w:eastAsia="한컴바탕"/>
                <w:color w:val="FF0000"/>
                <w:spacing w:val="-6"/>
                <w:szCs w:val="20"/>
                <w:u w:val="single"/>
                <w:lang w:val="mn-MN"/>
              </w:rPr>
            </w:pPr>
            <w:r w:rsidRPr="0037522B">
              <w:rPr>
                <w:rFonts w:ascii="Times New Roman" w:eastAsia="한컴바탕"/>
                <w:color w:val="FF0000"/>
                <w:szCs w:val="20"/>
                <w:u w:val="single"/>
                <w:lang w:val="mn-MN"/>
              </w:rPr>
              <w:t xml:space="preserve">2. Зохицуулагч байгууллагын хугацаа 2 жил бөгөөд үргэлжлүүлэн ажиллаж болох бөгөөд хүсвэл хамтран </w:t>
            </w:r>
            <w:r w:rsidRPr="0037522B">
              <w:rPr>
                <w:rFonts w:ascii="Times New Roman" w:eastAsia="한컴바탕"/>
                <w:color w:val="FF0000"/>
                <w:spacing w:val="-6"/>
                <w:szCs w:val="20"/>
                <w:u w:val="single"/>
                <w:lang w:val="mn-MN"/>
              </w:rPr>
              <w:t>зохицуулагч байгууллагын хамтаар хороог ажиллуулж болно.</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b/>
                <w:bCs/>
                <w:color w:val="FF0000"/>
                <w:spacing w:val="-15"/>
                <w:sz w:val="20"/>
                <w:szCs w:val="20"/>
                <w:u w:val="single"/>
                <w:lang w:val="mn-MN"/>
              </w:rPr>
              <w:t>.</w:t>
            </w:r>
          </w:p>
        </w:tc>
      </w:tr>
      <w:tr w:rsidR="0037522B" w:rsidRPr="0037522B" w:rsidTr="00035EDE">
        <w:tblPrEx>
          <w:tblCellMar>
            <w:top w:w="0" w:type="dxa"/>
            <w:left w:w="0" w:type="dxa"/>
            <w:bottom w:w="0" w:type="dxa"/>
            <w:right w:w="0" w:type="dxa"/>
          </w:tblCellMar>
        </w:tblPrEx>
        <w:trPr>
          <w:trHeight w:val="969"/>
        </w:trPr>
        <w:tc>
          <w:tcPr>
            <w:tcW w:w="4757" w:type="dxa"/>
            <w:tcBorders>
              <w:top w:val="nil"/>
              <w:left w:val="single" w:sz="2" w:space="0" w:color="000000"/>
              <w:bottom w:val="nil"/>
              <w:right w:val="single" w:sz="2" w:space="0" w:color="000000"/>
            </w:tcBorders>
            <w:vAlign w:val="center"/>
          </w:tcPr>
          <w:p w:rsidR="0037522B" w:rsidRPr="0037522B" w:rsidRDefault="0037522B" w:rsidP="0037522B">
            <w:pPr>
              <w:spacing w:line="276" w:lineRule="auto"/>
              <w:ind w:leftChars="50" w:left="100"/>
              <w:rPr>
                <w:rFonts w:ascii="Times New Roman" w:eastAsia="한컴바탕"/>
                <w:color w:val="FF0000"/>
                <w:szCs w:val="20"/>
                <w:u w:val="single"/>
                <w:lang w:val="mn-MN"/>
              </w:rPr>
            </w:pPr>
            <w:r w:rsidRPr="0037522B">
              <w:rPr>
                <w:rFonts w:ascii="Times New Roman" w:eastAsia="한컴바탕"/>
                <w:color w:val="FF0000"/>
                <w:szCs w:val="20"/>
                <w:u w:val="single"/>
                <w:lang w:val="mn-MN"/>
              </w:rPr>
              <w:t>4. Дэд хороод нь шаардлагатай үед хурал зохион байгуулна.</w:t>
            </w:r>
          </w:p>
          <w:p w:rsidR="0037522B" w:rsidRPr="0037522B" w:rsidRDefault="0037522B" w:rsidP="0037522B">
            <w:pPr>
              <w:pStyle w:val="s0"/>
              <w:jc w:val="both"/>
              <w:rPr>
                <w:rFonts w:ascii="Times New Roman" w:hAnsi="Times New Roman" w:cs="Times New Roman"/>
                <w:sz w:val="20"/>
                <w:szCs w:val="20"/>
                <w:lang w:val="mn-MN"/>
              </w:rPr>
            </w:pPr>
          </w:p>
        </w:tc>
        <w:tc>
          <w:tcPr>
            <w:tcW w:w="4756" w:type="dxa"/>
            <w:tcBorders>
              <w:top w:val="nil"/>
              <w:left w:val="single" w:sz="2" w:space="0" w:color="000000"/>
              <w:bottom w:val="nil"/>
              <w:right w:val="single" w:sz="2" w:space="0" w:color="000000"/>
            </w:tcBorders>
            <w:vAlign w:val="center"/>
          </w:tcPr>
          <w:p w:rsidR="0037522B" w:rsidRPr="0037522B" w:rsidRDefault="0037522B" w:rsidP="0037522B">
            <w:pPr>
              <w:pStyle w:val="s0"/>
              <w:jc w:val="both"/>
              <w:rPr>
                <w:rFonts w:ascii="Times New Roman" w:eastAsia="맑은 고딕" w:hAnsi="Times New Roman" w:cs="Times New Roman"/>
                <w:sz w:val="20"/>
                <w:szCs w:val="20"/>
                <w:lang w:val="mn-MN"/>
              </w:rPr>
            </w:pPr>
            <w:r w:rsidRPr="0037522B">
              <w:rPr>
                <w:rFonts w:ascii="Times New Roman" w:hAnsi="Times New Roman" w:cs="Times New Roman"/>
                <w:sz w:val="20"/>
                <w:szCs w:val="20"/>
                <w:lang w:val="mn-MN"/>
              </w:rPr>
              <w:t xml:space="preserve">3. </w:t>
            </w:r>
            <w:r w:rsidRPr="0037522B">
              <w:rPr>
                <w:rFonts w:ascii="Times New Roman" w:eastAsia="MS Mincho" w:hAnsi="Times New Roman" w:cs="Times New Roman"/>
                <w:sz w:val="20"/>
                <w:szCs w:val="20"/>
                <w:lang w:val="mn-MN"/>
              </w:rPr>
              <w:t>Ө</w:t>
            </w:r>
            <w:r w:rsidRPr="0037522B">
              <w:rPr>
                <w:rFonts w:ascii="Times New Roman" w:eastAsia="맑은 고딕" w:hAnsi="Times New Roman" w:cs="Times New Roman"/>
                <w:sz w:val="20"/>
                <w:szCs w:val="20"/>
                <w:lang w:val="mn-MN"/>
              </w:rPr>
              <w:t>өрчлөлт оруулахын өмнөхтэй адил</w:t>
            </w:r>
          </w:p>
          <w:p w:rsidR="0037522B" w:rsidRPr="0037522B" w:rsidRDefault="0037522B" w:rsidP="0037522B">
            <w:pPr>
              <w:pStyle w:val="s0"/>
              <w:jc w:val="both"/>
              <w:rPr>
                <w:rFonts w:ascii="Times New Roman" w:hAnsi="Times New Roman" w:cs="Times New Roman"/>
                <w:sz w:val="20"/>
                <w:szCs w:val="20"/>
                <w:lang w:val="mn-MN"/>
              </w:rPr>
            </w:pPr>
          </w:p>
        </w:tc>
      </w:tr>
      <w:tr w:rsidR="0037522B" w:rsidRPr="0037522B" w:rsidTr="00035EDE">
        <w:tblPrEx>
          <w:tblCellMar>
            <w:top w:w="0" w:type="dxa"/>
            <w:left w:w="0" w:type="dxa"/>
            <w:bottom w:w="0" w:type="dxa"/>
            <w:right w:w="0" w:type="dxa"/>
          </w:tblCellMar>
        </w:tblPrEx>
        <w:trPr>
          <w:trHeight w:val="633"/>
        </w:trPr>
        <w:tc>
          <w:tcPr>
            <w:tcW w:w="4757" w:type="dxa"/>
            <w:tcBorders>
              <w:top w:val="nil"/>
              <w:left w:val="single" w:sz="2" w:space="0" w:color="000000"/>
              <w:bottom w:val="nil"/>
              <w:right w:val="single" w:sz="2" w:space="0" w:color="000000"/>
            </w:tcBorders>
          </w:tcPr>
          <w:p w:rsidR="0037522B" w:rsidRPr="0037522B" w:rsidRDefault="0037522B" w:rsidP="0037522B">
            <w:pPr>
              <w:spacing w:line="276" w:lineRule="auto"/>
              <w:rPr>
                <w:rFonts w:ascii="Times New Roman"/>
                <w:color w:val="FF0000"/>
                <w:szCs w:val="20"/>
                <w:u w:val="single"/>
                <w:lang w:val="mn-MN"/>
              </w:rPr>
            </w:pPr>
            <w:r w:rsidRPr="0037522B">
              <w:rPr>
                <w:rFonts w:ascii="Times New Roman"/>
                <w:color w:val="FF0000"/>
                <w:szCs w:val="20"/>
                <w:u w:val="single"/>
                <w:lang w:val="mn-MN"/>
              </w:rPr>
              <w:t xml:space="preserve">5. </w:t>
            </w:r>
            <w:r w:rsidRPr="0037522B">
              <w:rPr>
                <w:rFonts w:ascii="Times New Roman" w:eastAsia="맑은 고딕"/>
                <w:color w:val="FF0000"/>
                <w:szCs w:val="20"/>
                <w:u w:val="single"/>
                <w:lang w:val="mn-MN"/>
              </w:rPr>
              <w:t>Шинээр бий болсон.</w:t>
            </w:r>
          </w:p>
        </w:tc>
        <w:tc>
          <w:tcPr>
            <w:tcW w:w="4756" w:type="dxa"/>
            <w:tcBorders>
              <w:top w:val="nil"/>
              <w:left w:val="single" w:sz="2" w:space="0" w:color="000000"/>
              <w:bottom w:val="nil"/>
              <w:right w:val="single" w:sz="2" w:space="0" w:color="000000"/>
            </w:tcBorders>
            <w:vAlign w:val="center"/>
          </w:tcPr>
          <w:p w:rsidR="0037522B" w:rsidRPr="0037522B" w:rsidRDefault="0037522B" w:rsidP="0037522B">
            <w:pPr>
              <w:spacing w:line="276" w:lineRule="auto"/>
              <w:ind w:leftChars="50" w:left="100"/>
              <w:rPr>
                <w:rFonts w:ascii="Times New Roman"/>
                <w:color w:val="FF0000"/>
                <w:szCs w:val="20"/>
                <w:u w:val="single"/>
                <w:lang w:val="mn-MN"/>
              </w:rPr>
            </w:pPr>
            <w:r w:rsidRPr="0037522B">
              <w:rPr>
                <w:rFonts w:ascii="Times New Roman"/>
                <w:b/>
                <w:bCs/>
                <w:color w:val="FF0000"/>
                <w:szCs w:val="20"/>
                <w:u w:val="single"/>
                <w:lang w:val="mn-MN"/>
              </w:rPr>
              <w:t>4.</w:t>
            </w:r>
            <w:r w:rsidRPr="0037522B">
              <w:rPr>
                <w:rFonts w:ascii="Times New Roman" w:eastAsia="맑은 고딕"/>
                <w:color w:val="FF0000"/>
                <w:szCs w:val="20"/>
                <w:u w:val="single"/>
                <w:lang w:val="mn-MN"/>
              </w:rPr>
              <w:t xml:space="preserve"> </w:t>
            </w:r>
            <w:r w:rsidRPr="0037522B">
              <w:rPr>
                <w:rFonts w:ascii="Times New Roman"/>
                <w:color w:val="FF0000"/>
                <w:szCs w:val="20"/>
                <w:u w:val="single"/>
                <w:lang w:val="mn-MN"/>
              </w:rPr>
              <w:t xml:space="preserve">Хороодыг ажиллуулах хугацаанд нэгээс дээш удаа хурал мөн өөр бусад үйл ажиллагааг явуулна. </w:t>
            </w:r>
          </w:p>
          <w:p w:rsidR="0037522B" w:rsidRPr="0037522B" w:rsidRDefault="0037522B" w:rsidP="0037522B">
            <w:pPr>
              <w:pStyle w:val="s0"/>
              <w:jc w:val="both"/>
              <w:rPr>
                <w:rFonts w:ascii="Times New Roman" w:hAnsi="Times New Roman" w:cs="Times New Roman"/>
                <w:sz w:val="20"/>
                <w:szCs w:val="20"/>
                <w:lang w:val="mn-MN"/>
              </w:rPr>
            </w:pPr>
          </w:p>
        </w:tc>
      </w:tr>
      <w:tr w:rsidR="0037522B" w:rsidRPr="0037522B" w:rsidTr="00035EDE">
        <w:tblPrEx>
          <w:tblCellMar>
            <w:top w:w="0" w:type="dxa"/>
            <w:left w:w="0" w:type="dxa"/>
            <w:bottom w:w="0" w:type="dxa"/>
            <w:right w:w="0" w:type="dxa"/>
          </w:tblCellMar>
        </w:tblPrEx>
        <w:trPr>
          <w:trHeight w:val="633"/>
        </w:trPr>
        <w:tc>
          <w:tcPr>
            <w:tcW w:w="4757" w:type="dxa"/>
            <w:tcBorders>
              <w:top w:val="nil"/>
              <w:left w:val="single" w:sz="2" w:space="0" w:color="000000"/>
              <w:bottom w:val="nil"/>
              <w:right w:val="single" w:sz="2" w:space="0" w:color="000000"/>
            </w:tcBorders>
          </w:tcPr>
          <w:p w:rsidR="0037522B" w:rsidRPr="0037522B" w:rsidRDefault="0037522B" w:rsidP="0037522B">
            <w:pPr>
              <w:spacing w:line="276" w:lineRule="auto"/>
              <w:rPr>
                <w:rFonts w:ascii="Times New Roman" w:eastAsia="맑은 고딕"/>
                <w:color w:val="FF0000"/>
                <w:szCs w:val="20"/>
                <w:u w:val="single"/>
                <w:lang w:val="mn-MN"/>
              </w:rPr>
            </w:pPr>
            <w:r w:rsidRPr="0037522B">
              <w:rPr>
                <w:rFonts w:ascii="Times New Roman"/>
                <w:color w:val="FF0000"/>
                <w:szCs w:val="20"/>
                <w:u w:val="single"/>
                <w:lang w:val="mn-MN"/>
              </w:rPr>
              <w:t>6.</w:t>
            </w:r>
            <w:r w:rsidRPr="0037522B">
              <w:rPr>
                <w:rFonts w:ascii="Times New Roman" w:eastAsia="맑은 고딕"/>
                <w:color w:val="FF0000"/>
                <w:szCs w:val="20"/>
                <w:u w:val="single"/>
                <w:lang w:val="mn-MN"/>
              </w:rPr>
              <w:t xml:space="preserve"> Шинээр бий болсон.</w:t>
            </w:r>
          </w:p>
        </w:tc>
        <w:tc>
          <w:tcPr>
            <w:tcW w:w="4756" w:type="dxa"/>
            <w:tcBorders>
              <w:top w:val="nil"/>
              <w:left w:val="single" w:sz="2" w:space="0" w:color="000000"/>
              <w:bottom w:val="nil"/>
              <w:right w:val="single" w:sz="2" w:space="0" w:color="000000"/>
            </w:tcBorders>
            <w:vAlign w:val="center"/>
          </w:tcPr>
          <w:p w:rsidR="0037522B" w:rsidRPr="0037522B" w:rsidRDefault="0037522B" w:rsidP="0037522B">
            <w:pPr>
              <w:pStyle w:val="s0"/>
              <w:jc w:val="both"/>
              <w:rPr>
                <w:rFonts w:ascii="Times New Roman" w:hAnsi="Times New Roman" w:cs="Times New Roman"/>
                <w:color w:val="FF0000"/>
                <w:sz w:val="20"/>
                <w:szCs w:val="20"/>
                <w:u w:val="single"/>
                <w:lang w:val="mn-MN"/>
              </w:rPr>
            </w:pPr>
            <w:r w:rsidRPr="0037522B">
              <w:rPr>
                <w:rFonts w:ascii="Times New Roman" w:hAnsi="Times New Roman" w:cs="Times New Roman"/>
                <w:color w:val="FF0000"/>
                <w:sz w:val="20"/>
                <w:szCs w:val="20"/>
                <w:u w:val="single"/>
                <w:lang w:val="mn-MN"/>
              </w:rPr>
              <w:t>5.</w:t>
            </w:r>
            <w:r w:rsidRPr="0037522B">
              <w:rPr>
                <w:rFonts w:ascii="Times New Roman" w:eastAsia="맑은 고딕" w:hAnsi="Times New Roman" w:cs="Times New Roman"/>
                <w:color w:val="FF0000"/>
                <w:sz w:val="20"/>
                <w:szCs w:val="20"/>
                <w:u w:val="single"/>
                <w:lang w:val="mn-MN"/>
              </w:rPr>
              <w:t xml:space="preserve"> </w:t>
            </w:r>
            <w:r w:rsidRPr="0037522B">
              <w:rPr>
                <w:rFonts w:ascii="Times New Roman" w:hAnsi="Times New Roman" w:cs="Times New Roman"/>
                <w:color w:val="FF0000"/>
                <w:spacing w:val="6"/>
                <w:sz w:val="20"/>
                <w:szCs w:val="20"/>
                <w:u w:val="single"/>
                <w:lang w:val="mn-MN"/>
              </w:rPr>
              <w:t xml:space="preserve">Хороог ажиллуулахад гишүүн байгууллагуудын </w:t>
            </w:r>
            <w:r w:rsidRPr="0037522B">
              <w:rPr>
                <w:rFonts w:ascii="Times New Roman" w:hAnsi="Times New Roman" w:cs="Times New Roman"/>
                <w:color w:val="FF0000"/>
                <w:spacing w:val="-6"/>
                <w:sz w:val="20"/>
                <w:szCs w:val="20"/>
                <w:u w:val="single"/>
                <w:lang w:val="mn-MN"/>
              </w:rPr>
              <w:t>оролцоог 5 улсын 10-аас дээш байгууллагад байлгана.</w:t>
            </w:r>
          </w:p>
        </w:tc>
      </w:tr>
      <w:tr w:rsidR="0037522B" w:rsidRPr="0037522B" w:rsidTr="00035EDE">
        <w:tblPrEx>
          <w:tblCellMar>
            <w:top w:w="0" w:type="dxa"/>
            <w:left w:w="0" w:type="dxa"/>
            <w:bottom w:w="0" w:type="dxa"/>
            <w:right w:w="0" w:type="dxa"/>
          </w:tblCellMar>
        </w:tblPrEx>
        <w:trPr>
          <w:trHeight w:val="633"/>
        </w:trPr>
        <w:tc>
          <w:tcPr>
            <w:tcW w:w="4757" w:type="dxa"/>
            <w:tcBorders>
              <w:top w:val="nil"/>
              <w:left w:val="single" w:sz="2" w:space="0" w:color="000000"/>
              <w:bottom w:val="single" w:sz="2" w:space="0" w:color="000000"/>
              <w:right w:val="single" w:sz="2" w:space="0" w:color="000000"/>
            </w:tcBorders>
          </w:tcPr>
          <w:p w:rsidR="0037522B" w:rsidRPr="0037522B" w:rsidRDefault="0037522B" w:rsidP="0037522B">
            <w:pPr>
              <w:spacing w:line="276" w:lineRule="auto"/>
              <w:rPr>
                <w:rFonts w:ascii="Times New Roman" w:eastAsia="맑은 고딕"/>
                <w:color w:val="000000"/>
                <w:szCs w:val="20"/>
                <w:lang w:val="mn-MN"/>
              </w:rPr>
            </w:pPr>
          </w:p>
        </w:tc>
        <w:tc>
          <w:tcPr>
            <w:tcW w:w="4756" w:type="dxa"/>
            <w:tcBorders>
              <w:top w:val="nil"/>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color w:val="FF0000"/>
                <w:sz w:val="20"/>
                <w:szCs w:val="20"/>
                <w:lang w:val="mn-MN"/>
              </w:rPr>
            </w:pPr>
            <w:r w:rsidRPr="0037522B">
              <w:rPr>
                <w:rFonts w:ascii="Times New Roman" w:hAnsi="Times New Roman" w:cs="Times New Roman"/>
                <w:color w:val="FF0000"/>
                <w:sz w:val="20"/>
                <w:szCs w:val="20"/>
                <w:lang w:val="mn-MN"/>
              </w:rPr>
              <w:t xml:space="preserve">6. </w:t>
            </w:r>
            <w:r w:rsidRPr="0037522B">
              <w:rPr>
                <w:rFonts w:ascii="Times New Roman" w:hAnsi="Times New Roman" w:cs="Times New Roman"/>
                <w:color w:val="FF0000"/>
                <w:sz w:val="20"/>
                <w:szCs w:val="20"/>
                <w:u w:val="single"/>
                <w:lang w:val="mn-MN"/>
              </w:rPr>
              <w:t>Шаардлагатай үед ажлын хороо нь дэд хороодын үйл ажиллагааны байдалд дүгнэлт хийнэ.</w:t>
            </w:r>
          </w:p>
        </w:tc>
      </w:tr>
    </w:tbl>
    <w:p w:rsidR="0037522B" w:rsidRPr="0037522B" w:rsidRDefault="0037522B" w:rsidP="0037522B">
      <w:pPr>
        <w:pStyle w:val="s0"/>
        <w:jc w:val="both"/>
        <w:rPr>
          <w:rFonts w:ascii="Times New Roman" w:hAnsi="Times New Roman" w:cs="Times New Roman"/>
          <w:sz w:val="20"/>
          <w:szCs w:val="20"/>
          <w:lang w:val="mn-MN"/>
        </w:rPr>
      </w:pPr>
    </w:p>
    <w:tbl>
      <w:tblPr>
        <w:tblW w:w="9513" w:type="dxa"/>
        <w:tblInd w:w="3" w:type="dxa"/>
        <w:tblLayout w:type="fixed"/>
        <w:tblCellMar>
          <w:left w:w="0" w:type="dxa"/>
          <w:right w:w="0" w:type="dxa"/>
        </w:tblCellMar>
        <w:tblLook w:val="0000"/>
      </w:tblPr>
      <w:tblGrid>
        <w:gridCol w:w="4757"/>
        <w:gridCol w:w="4756"/>
      </w:tblGrid>
      <w:tr w:rsidR="0037522B" w:rsidRPr="0037522B" w:rsidTr="00035EDE">
        <w:tblPrEx>
          <w:tblCellMar>
            <w:top w:w="0" w:type="dxa"/>
            <w:left w:w="0" w:type="dxa"/>
            <w:bottom w:w="0" w:type="dxa"/>
            <w:right w:w="0" w:type="dxa"/>
          </w:tblCellMar>
        </w:tblPrEx>
        <w:trPr>
          <w:trHeight w:val="438"/>
        </w:trPr>
        <w:tc>
          <w:tcPr>
            <w:tcW w:w="4757"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eastAsia="MS Mincho" w:hAnsi="Times New Roman" w:cs="Times New Roman"/>
                <w:b/>
                <w:bCs/>
                <w:sz w:val="20"/>
                <w:szCs w:val="20"/>
                <w:lang w:val="mn-MN"/>
              </w:rPr>
              <w:t>Өөрчлөлт оруулахын өмнө</w:t>
            </w:r>
          </w:p>
        </w:tc>
        <w:tc>
          <w:tcPr>
            <w:tcW w:w="4756"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eastAsia="MS Mincho" w:hAnsi="Times New Roman" w:cs="Times New Roman"/>
                <w:b/>
                <w:bCs/>
                <w:sz w:val="20"/>
                <w:szCs w:val="20"/>
                <w:lang w:val="mn-MN"/>
              </w:rPr>
              <w:t>Өөрчлөлт оруулсны дараа</w:t>
            </w:r>
          </w:p>
        </w:tc>
      </w:tr>
      <w:tr w:rsidR="0037522B" w:rsidRPr="0037522B" w:rsidTr="00035EDE">
        <w:tblPrEx>
          <w:tblCellMar>
            <w:top w:w="0" w:type="dxa"/>
            <w:left w:w="0" w:type="dxa"/>
            <w:bottom w:w="0" w:type="dxa"/>
            <w:right w:w="0" w:type="dxa"/>
          </w:tblCellMar>
        </w:tblPrEx>
        <w:trPr>
          <w:trHeight w:val="1138"/>
        </w:trPr>
        <w:tc>
          <w:tcPr>
            <w:tcW w:w="4757" w:type="dxa"/>
            <w:tcBorders>
              <w:top w:val="single" w:sz="2" w:space="0" w:color="000000"/>
              <w:left w:val="single" w:sz="2" w:space="0" w:color="000000"/>
              <w:bottom w:val="nil"/>
              <w:right w:val="single" w:sz="2" w:space="0" w:color="000000"/>
            </w:tcBorders>
            <w:vAlign w:val="center"/>
          </w:tcPr>
          <w:p w:rsidR="0037522B" w:rsidRPr="0037522B" w:rsidRDefault="0037522B" w:rsidP="0037522B">
            <w:pPr>
              <w:spacing w:line="276" w:lineRule="auto"/>
              <w:ind w:left="100" w:hangingChars="50" w:hanging="100"/>
              <w:rPr>
                <w:rFonts w:ascii="Times New Roman"/>
                <w:color w:val="FF0000"/>
                <w:szCs w:val="20"/>
                <w:u w:val="single"/>
                <w:lang w:val="mn-MN"/>
              </w:rPr>
            </w:pPr>
            <w:r w:rsidRPr="0037522B">
              <w:rPr>
                <w:rFonts w:ascii="Times New Roman"/>
                <w:szCs w:val="20"/>
                <w:u w:val="single"/>
                <w:lang w:val="mn-MN"/>
              </w:rPr>
              <w:t>6-р зүйл(Оролцоо)</w:t>
            </w:r>
            <w:r w:rsidRPr="0037522B">
              <w:rPr>
                <w:rFonts w:ascii="Times New Roman"/>
                <w:color w:val="FF0000"/>
                <w:szCs w:val="20"/>
                <w:u w:val="single"/>
                <w:lang w:val="mn-MN"/>
              </w:rPr>
              <w:t xml:space="preserve"> 1. Дэд хородын үйл ажиллагаанд оролцохыг хүсэгч байгууллага нь тухайн хорооны </w:t>
            </w:r>
            <w:r w:rsidRPr="0037522B">
              <w:rPr>
                <w:rFonts w:ascii="Times New Roman"/>
                <w:color w:val="FF0000"/>
                <w:spacing w:val="12"/>
                <w:szCs w:val="20"/>
                <w:u w:val="single"/>
                <w:lang w:val="mn-MN"/>
              </w:rPr>
              <w:t xml:space="preserve">зохицуулагч байгууллагад оролцох хүсэлтээ </w:t>
            </w:r>
            <w:r w:rsidRPr="0037522B">
              <w:rPr>
                <w:rFonts w:ascii="Times New Roman"/>
                <w:color w:val="FF0000"/>
                <w:szCs w:val="20"/>
                <w:u w:val="single"/>
                <w:lang w:val="mn-MN"/>
              </w:rPr>
              <w:t xml:space="preserve">илэрхийлнэ. </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color w:val="FF0000"/>
                <w:sz w:val="20"/>
                <w:szCs w:val="20"/>
                <w:u w:val="single"/>
                <w:lang w:val="mn-MN"/>
              </w:rPr>
              <w:lastRenderedPageBreak/>
              <w:t xml:space="preserve">2. </w:t>
            </w:r>
            <w:r w:rsidRPr="0037522B">
              <w:rPr>
                <w:rFonts w:ascii="Times New Roman" w:hAnsi="Times New Roman" w:cs="Times New Roman"/>
                <w:color w:val="FF0000"/>
                <w:spacing w:val="6"/>
                <w:sz w:val="20"/>
                <w:szCs w:val="20"/>
                <w:u w:val="single"/>
                <w:lang w:val="mn-MN"/>
              </w:rPr>
              <w:t xml:space="preserve">Зохицуулагч байгууллага тухайн дэд хорооны </w:t>
            </w:r>
            <w:r w:rsidRPr="0037522B">
              <w:rPr>
                <w:rFonts w:ascii="Times New Roman" w:hAnsi="Times New Roman" w:cs="Times New Roman"/>
                <w:color w:val="FF0000"/>
                <w:sz w:val="20"/>
                <w:szCs w:val="20"/>
                <w:u w:val="single"/>
                <w:lang w:val="mn-MN"/>
              </w:rPr>
              <w:t>бүрэлдэхүүнд өөрчлөлт орох тохиолдолд ажлын хороонд мэдэгдэнэ</w:t>
            </w:r>
          </w:p>
        </w:tc>
        <w:tc>
          <w:tcPr>
            <w:tcW w:w="4756" w:type="dxa"/>
            <w:tcBorders>
              <w:top w:val="single" w:sz="2" w:space="0" w:color="000000"/>
              <w:left w:val="single" w:sz="2" w:space="0" w:color="000000"/>
              <w:bottom w:val="nil"/>
              <w:right w:val="single" w:sz="2" w:space="0" w:color="000000"/>
            </w:tcBorders>
            <w:vAlign w:val="center"/>
          </w:tcPr>
          <w:p w:rsidR="0037522B" w:rsidRPr="0037522B" w:rsidRDefault="0037522B" w:rsidP="0037522B">
            <w:pPr>
              <w:spacing w:line="276" w:lineRule="auto"/>
              <w:ind w:left="100" w:hangingChars="50" w:hanging="100"/>
              <w:rPr>
                <w:rFonts w:ascii="Times New Roman"/>
                <w:color w:val="FF0000"/>
                <w:szCs w:val="20"/>
                <w:u w:val="single"/>
                <w:lang w:val="mn-MN"/>
              </w:rPr>
            </w:pPr>
            <w:r w:rsidRPr="0037522B">
              <w:rPr>
                <w:rFonts w:ascii="Times New Roman"/>
                <w:color w:val="000000"/>
                <w:szCs w:val="20"/>
                <w:lang w:val="mn-MN"/>
              </w:rPr>
              <w:lastRenderedPageBreak/>
              <w:t>6-р</w:t>
            </w:r>
            <w:r w:rsidRPr="0037522B">
              <w:rPr>
                <w:rFonts w:ascii="Times New Roman"/>
                <w:szCs w:val="20"/>
                <w:lang w:val="mn-MN"/>
              </w:rPr>
              <w:t xml:space="preserve"> зүйл(Оролцоо) </w:t>
            </w:r>
            <w:r w:rsidRPr="0037522B">
              <w:rPr>
                <w:rFonts w:ascii="Times New Roman"/>
                <w:color w:val="FF0000"/>
                <w:szCs w:val="20"/>
                <w:u w:val="single"/>
                <w:lang w:val="mn-MN"/>
              </w:rPr>
              <w:t>1. Бүх гишүүн байгууллагууд холбооны бүх эд хорооны үйл ажиллагаанд оролцох эрхтэй.</w:t>
            </w:r>
          </w:p>
          <w:p w:rsidR="0037522B" w:rsidRPr="0037522B" w:rsidRDefault="0037522B" w:rsidP="0037522B">
            <w:pPr>
              <w:spacing w:line="276" w:lineRule="auto"/>
              <w:rPr>
                <w:rFonts w:ascii="Times New Roman"/>
                <w:color w:val="000000"/>
                <w:szCs w:val="20"/>
                <w:u w:val="single"/>
                <w:lang w:val="mn-MN"/>
              </w:rPr>
            </w:pPr>
          </w:p>
          <w:p w:rsidR="0037522B" w:rsidRPr="0037522B" w:rsidRDefault="0037522B" w:rsidP="0037522B">
            <w:pPr>
              <w:spacing w:line="276" w:lineRule="auto"/>
              <w:ind w:firstLineChars="50" w:firstLine="100"/>
              <w:rPr>
                <w:rFonts w:ascii="Times New Roman"/>
                <w:color w:val="000000"/>
                <w:szCs w:val="20"/>
                <w:u w:val="single"/>
                <w:lang w:val="mn-MN"/>
              </w:rPr>
            </w:pPr>
            <w:r w:rsidRPr="0037522B">
              <w:rPr>
                <w:rFonts w:ascii="Times New Roman"/>
                <w:color w:val="000000"/>
                <w:szCs w:val="20"/>
                <w:u w:val="single"/>
                <w:lang w:val="mn-MN"/>
              </w:rPr>
              <w:t xml:space="preserve">2. </w:t>
            </w:r>
            <w:r w:rsidRPr="0037522B">
              <w:rPr>
                <w:rFonts w:ascii="Times New Roman"/>
                <w:color w:val="FF0000"/>
                <w:szCs w:val="20"/>
                <w:lang w:val="mn-MN"/>
              </w:rPr>
              <w:t>устгах</w:t>
            </w:r>
          </w:p>
          <w:p w:rsidR="0037522B" w:rsidRPr="0037522B" w:rsidRDefault="0037522B" w:rsidP="0037522B">
            <w:pPr>
              <w:pStyle w:val="s0"/>
              <w:jc w:val="both"/>
              <w:rPr>
                <w:rFonts w:ascii="Times New Roman" w:hAnsi="Times New Roman" w:cs="Times New Roman"/>
                <w:sz w:val="20"/>
                <w:szCs w:val="20"/>
                <w:lang w:val="mn-MN"/>
              </w:rPr>
            </w:pPr>
          </w:p>
        </w:tc>
      </w:tr>
      <w:tr w:rsidR="0037522B" w:rsidRPr="0037522B" w:rsidTr="00035EDE">
        <w:tblPrEx>
          <w:tblCellMar>
            <w:top w:w="0" w:type="dxa"/>
            <w:left w:w="0" w:type="dxa"/>
            <w:bottom w:w="0" w:type="dxa"/>
            <w:right w:w="0" w:type="dxa"/>
          </w:tblCellMar>
        </w:tblPrEx>
        <w:trPr>
          <w:trHeight w:val="1308"/>
        </w:trPr>
        <w:tc>
          <w:tcPr>
            <w:tcW w:w="4757" w:type="dxa"/>
            <w:tcBorders>
              <w:top w:val="nil"/>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sz w:val="20"/>
                <w:szCs w:val="20"/>
                <w:lang w:val="mn-MN"/>
              </w:rPr>
            </w:pPr>
          </w:p>
        </w:tc>
        <w:tc>
          <w:tcPr>
            <w:tcW w:w="4756" w:type="dxa"/>
            <w:tcBorders>
              <w:top w:val="nil"/>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sz w:val="20"/>
                <w:szCs w:val="20"/>
                <w:lang w:val="mn-MN"/>
              </w:rPr>
            </w:pPr>
          </w:p>
        </w:tc>
      </w:tr>
      <w:tr w:rsidR="0037522B" w:rsidRPr="0037522B" w:rsidTr="00035EDE">
        <w:tblPrEx>
          <w:tblCellMar>
            <w:top w:w="0" w:type="dxa"/>
            <w:left w:w="0" w:type="dxa"/>
            <w:bottom w:w="0" w:type="dxa"/>
            <w:right w:w="0" w:type="dxa"/>
          </w:tblCellMar>
        </w:tblPrEx>
        <w:trPr>
          <w:trHeight w:val="1750"/>
        </w:trPr>
        <w:tc>
          <w:tcPr>
            <w:tcW w:w="4757"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b/>
                <w:bCs/>
                <w:color w:val="000000"/>
                <w:sz w:val="20"/>
                <w:szCs w:val="20"/>
                <w:lang w:val="mn-MN"/>
              </w:rPr>
              <w:t xml:space="preserve">8-р </w:t>
            </w:r>
            <w:r w:rsidRPr="0037522B">
              <w:rPr>
                <w:rFonts w:ascii="Times New Roman" w:hAnsi="Times New Roman" w:cs="Times New Roman"/>
                <w:b/>
                <w:bCs/>
                <w:color w:val="000000"/>
                <w:spacing w:val="6"/>
                <w:sz w:val="20"/>
                <w:szCs w:val="20"/>
                <w:lang w:val="mn-MN"/>
              </w:rPr>
              <w:t>зүйл(Хэрэг эрхлэх газартай хамаарах нь)</w:t>
            </w:r>
            <w:r w:rsidRPr="0037522B">
              <w:rPr>
                <w:rFonts w:ascii="Times New Roman" w:hAnsi="Times New Roman" w:cs="Times New Roman"/>
                <w:color w:val="000000"/>
                <w:spacing w:val="6"/>
                <w:sz w:val="20"/>
                <w:szCs w:val="20"/>
                <w:lang w:val="mn-MN"/>
              </w:rPr>
              <w:t xml:space="preserve"> </w:t>
            </w:r>
            <w:r w:rsidRPr="0037522B">
              <w:rPr>
                <w:rFonts w:ascii="Times New Roman" w:hAnsi="Times New Roman" w:cs="Times New Roman"/>
                <w:color w:val="000000"/>
                <w:sz w:val="20"/>
                <w:szCs w:val="20"/>
                <w:lang w:val="mn-MN"/>
              </w:rPr>
              <w:t xml:space="preserve">Зохицуулагч байгууллага нь </w:t>
            </w:r>
            <w:r w:rsidRPr="0037522B">
              <w:rPr>
                <w:rFonts w:ascii="Times New Roman" w:hAnsi="Times New Roman" w:cs="Times New Roman"/>
                <w:color w:val="FF0000"/>
                <w:sz w:val="20"/>
                <w:szCs w:val="20"/>
                <w:lang w:val="mn-MN"/>
              </w:rPr>
              <w:t xml:space="preserve">дэд хорооны хурлаар хэлэлцсэн зүйлийг </w:t>
            </w:r>
            <w:r w:rsidRPr="0037522B">
              <w:rPr>
                <w:rFonts w:ascii="Times New Roman" w:hAnsi="Times New Roman" w:cs="Times New Roman"/>
                <w:color w:val="000000"/>
                <w:sz w:val="20"/>
                <w:szCs w:val="20"/>
                <w:lang w:val="mn-MN"/>
              </w:rPr>
              <w:t xml:space="preserve">хэрэг эрхлэх газарт бичгээр </w:t>
            </w:r>
            <w:r w:rsidRPr="0037522B">
              <w:rPr>
                <w:rFonts w:ascii="Times New Roman" w:hAnsi="Times New Roman" w:cs="Times New Roman"/>
                <w:color w:val="000000"/>
                <w:spacing w:val="12"/>
                <w:sz w:val="20"/>
                <w:szCs w:val="20"/>
                <w:lang w:val="mn-MN"/>
              </w:rPr>
              <w:t xml:space="preserve">хүргэж, Хэрэг эрхлэх газар нь </w:t>
            </w:r>
            <w:r w:rsidRPr="0037522B">
              <w:rPr>
                <w:rFonts w:ascii="Times New Roman" w:hAnsi="Times New Roman" w:cs="Times New Roman"/>
                <w:color w:val="FF0000"/>
                <w:spacing w:val="12"/>
                <w:sz w:val="20"/>
                <w:szCs w:val="20"/>
                <w:lang w:val="mn-MN"/>
              </w:rPr>
              <w:t xml:space="preserve">дэд хорооны </w:t>
            </w:r>
            <w:r w:rsidRPr="0037522B">
              <w:rPr>
                <w:rFonts w:ascii="Times New Roman" w:hAnsi="Times New Roman" w:cs="Times New Roman"/>
                <w:color w:val="FF0000"/>
                <w:sz w:val="20"/>
                <w:szCs w:val="20"/>
                <w:lang w:val="mn-MN"/>
              </w:rPr>
              <w:t>бүрэлдэхүүнд ороогүй бусад байгууллагуудад бичгээр хүргэнэ.</w:t>
            </w:r>
          </w:p>
        </w:tc>
        <w:tc>
          <w:tcPr>
            <w:tcW w:w="4756"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spacing w:line="276" w:lineRule="auto"/>
              <w:ind w:left="98" w:hangingChars="50" w:hanging="98"/>
              <w:rPr>
                <w:rFonts w:ascii="Times New Roman" w:eastAsia="한컴바탕"/>
                <w:color w:val="000000"/>
                <w:szCs w:val="20"/>
                <w:u w:val="single"/>
                <w:lang w:val="mn-MN"/>
              </w:rPr>
            </w:pPr>
            <w:r w:rsidRPr="0037522B">
              <w:rPr>
                <w:rFonts w:ascii="Times New Roman" w:eastAsia="한컴바탕"/>
                <w:b/>
                <w:bCs/>
                <w:color w:val="000000"/>
                <w:szCs w:val="20"/>
                <w:lang w:val="mn-MN"/>
              </w:rPr>
              <w:t xml:space="preserve">8-р </w:t>
            </w:r>
            <w:r w:rsidRPr="0037522B">
              <w:rPr>
                <w:rFonts w:ascii="Times New Roman" w:eastAsia="한컴바탕"/>
                <w:b/>
                <w:bCs/>
                <w:color w:val="000000"/>
                <w:spacing w:val="12"/>
                <w:szCs w:val="20"/>
                <w:lang w:val="mn-MN"/>
              </w:rPr>
              <w:t>зүйл(Хэрэг эрхлэх газартай хамаарах нь)</w:t>
            </w:r>
            <w:r w:rsidRPr="0037522B">
              <w:rPr>
                <w:rFonts w:ascii="Times New Roman" w:eastAsia="한컴바탕"/>
                <w:color w:val="000000"/>
                <w:spacing w:val="12"/>
                <w:szCs w:val="20"/>
                <w:lang w:val="mn-MN"/>
              </w:rPr>
              <w:t xml:space="preserve"> </w:t>
            </w:r>
            <w:r w:rsidRPr="0037522B">
              <w:rPr>
                <w:rFonts w:ascii="Times New Roman" w:eastAsia="한컴바탕"/>
                <w:color w:val="000000"/>
                <w:szCs w:val="20"/>
                <w:lang w:val="mn-MN"/>
              </w:rPr>
              <w:t xml:space="preserve">Зохицуулагч байгууллага </w:t>
            </w:r>
            <w:r w:rsidRPr="0037522B">
              <w:rPr>
                <w:rFonts w:ascii="Times New Roman" w:eastAsia="한컴바탕"/>
                <w:color w:val="FF0000"/>
                <w:szCs w:val="20"/>
                <w:u w:val="single"/>
                <w:lang w:val="mn-MN"/>
              </w:rPr>
              <w:t>нь дэд хороодын үйл ажиллагааны тайланг мөн хурлын үр дүнг</w:t>
            </w:r>
            <w:r w:rsidRPr="0037522B">
              <w:rPr>
                <w:rFonts w:ascii="Times New Roman" w:eastAsia="한컴바탕"/>
                <w:color w:val="000000"/>
                <w:szCs w:val="20"/>
                <w:lang w:val="mn-MN"/>
              </w:rPr>
              <w:t xml:space="preserve"> хэрэг эрхлэх газарт бичгээр хүргэж, Хэрэг эрхлэх газраас үүнийг </w:t>
            </w:r>
            <w:r w:rsidRPr="0037522B">
              <w:rPr>
                <w:rFonts w:ascii="Times New Roman" w:eastAsia="한컴바탕"/>
                <w:color w:val="FF0000"/>
                <w:szCs w:val="20"/>
                <w:u w:val="single"/>
                <w:lang w:val="mn-MN"/>
              </w:rPr>
              <w:t>бүх гишүүн байгууллагуудад бичгээр хүргэнэ</w:t>
            </w:r>
            <w:r w:rsidRPr="0037522B">
              <w:rPr>
                <w:rFonts w:ascii="Times New Roman" w:eastAsia="한컴바탕"/>
                <w:color w:val="000000"/>
                <w:szCs w:val="20"/>
                <w:u w:val="single"/>
                <w:lang w:val="mn-MN"/>
              </w:rPr>
              <w:t>.</w:t>
            </w:r>
          </w:p>
          <w:p w:rsidR="0037522B" w:rsidRPr="0037522B" w:rsidRDefault="0037522B" w:rsidP="0037522B">
            <w:pPr>
              <w:spacing w:line="276" w:lineRule="auto"/>
              <w:ind w:left="100" w:hangingChars="50" w:hanging="100"/>
              <w:rPr>
                <w:rFonts w:ascii="Times New Roman"/>
                <w:color w:val="000000"/>
                <w:szCs w:val="20"/>
                <w:lang w:val="mn-MN"/>
              </w:rPr>
            </w:pPr>
          </w:p>
        </w:tc>
      </w:tr>
      <w:tr w:rsidR="0037522B" w:rsidRPr="0037522B" w:rsidTr="00035EDE">
        <w:tblPrEx>
          <w:tblCellMar>
            <w:top w:w="0" w:type="dxa"/>
            <w:left w:w="0" w:type="dxa"/>
            <w:bottom w:w="0" w:type="dxa"/>
            <w:right w:w="0" w:type="dxa"/>
          </w:tblCellMar>
        </w:tblPrEx>
        <w:trPr>
          <w:trHeight w:val="2220"/>
        </w:trPr>
        <w:tc>
          <w:tcPr>
            <w:tcW w:w="4757"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ind w:firstLineChars="300" w:firstLine="600"/>
              <w:rPr>
                <w:rFonts w:ascii="Times New Roman" w:eastAsia="한컴바탕"/>
                <w:bCs/>
                <w:color w:val="000000"/>
                <w:szCs w:val="20"/>
                <w:lang w:val="mn-MN"/>
              </w:rPr>
            </w:pPr>
            <w:r w:rsidRPr="0037522B">
              <w:rPr>
                <w:rFonts w:ascii="Times New Roman"/>
                <w:szCs w:val="20"/>
                <w:lang w:val="mn-MN"/>
              </w:rPr>
              <w:t xml:space="preserve"> </w:t>
            </w:r>
            <w:r w:rsidRPr="0037522B">
              <w:rPr>
                <w:rFonts w:ascii="Times New Roman" w:eastAsia="한컴바탕"/>
                <w:bCs/>
                <w:color w:val="000000"/>
                <w:szCs w:val="20"/>
                <w:lang w:val="mn-MN"/>
              </w:rPr>
              <w:t>Нэмэлт зүйл</w:t>
            </w:r>
          </w:p>
          <w:p w:rsidR="0037522B" w:rsidRPr="0037522B" w:rsidRDefault="0037522B" w:rsidP="0037522B">
            <w:pPr>
              <w:rPr>
                <w:rFonts w:ascii="Times New Roman" w:eastAsia="한컴바탕"/>
                <w:bCs/>
                <w:color w:val="000000"/>
                <w:spacing w:val="6"/>
                <w:szCs w:val="20"/>
                <w:lang w:val="mn-MN"/>
              </w:rPr>
            </w:pPr>
            <w:r w:rsidRPr="0037522B">
              <w:rPr>
                <w:rFonts w:ascii="Times New Roman" w:eastAsia="한컴바탕"/>
                <w:bCs/>
                <w:color w:val="000000"/>
                <w:spacing w:val="6"/>
                <w:szCs w:val="20"/>
                <w:lang w:val="mn-MN"/>
              </w:rPr>
              <w:t>Энэ журам нь  2010 оны 10 сарын 28-ны өдрөөс хэрэгжинэ.</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jc w:val="both"/>
              <w:rPr>
                <w:rFonts w:ascii="Times New Roman" w:hAnsi="Times New Roman" w:cs="Times New Roman"/>
                <w:sz w:val="20"/>
                <w:szCs w:val="20"/>
                <w:lang w:val="mn-MN"/>
              </w:rPr>
            </w:pPr>
          </w:p>
        </w:tc>
        <w:tc>
          <w:tcPr>
            <w:tcW w:w="4756" w:type="dxa"/>
            <w:tcBorders>
              <w:top w:val="single" w:sz="2" w:space="0" w:color="000000"/>
              <w:left w:val="single" w:sz="2" w:space="0" w:color="000000"/>
              <w:bottom w:val="single" w:sz="2" w:space="0" w:color="000000"/>
              <w:right w:val="single" w:sz="2" w:space="0" w:color="000000"/>
            </w:tcBorders>
            <w:vAlign w:val="center"/>
          </w:tcPr>
          <w:p w:rsidR="0037522B" w:rsidRPr="0037522B" w:rsidRDefault="0037522B" w:rsidP="0037522B">
            <w:pPr>
              <w:ind w:firstLineChars="300" w:firstLine="600"/>
              <w:rPr>
                <w:rFonts w:ascii="Times New Roman" w:eastAsia="한컴바탕"/>
                <w:bCs/>
                <w:color w:val="000000"/>
                <w:szCs w:val="20"/>
                <w:lang w:val="mn-MN"/>
              </w:rPr>
            </w:pPr>
            <w:r w:rsidRPr="0037522B">
              <w:rPr>
                <w:rFonts w:ascii="Times New Roman"/>
                <w:szCs w:val="20"/>
                <w:lang w:val="mn-MN"/>
              </w:rPr>
              <w:t xml:space="preserve"> </w:t>
            </w:r>
            <w:r w:rsidRPr="0037522B">
              <w:rPr>
                <w:rFonts w:ascii="Times New Roman" w:eastAsia="한컴바탕"/>
                <w:bCs/>
                <w:color w:val="000000"/>
                <w:szCs w:val="20"/>
                <w:lang w:val="mn-MN"/>
              </w:rPr>
              <w:t>Нэмэлт зүйл</w:t>
            </w:r>
          </w:p>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rPr>
                <w:rFonts w:ascii="Times New Roman" w:eastAsia="한컴바탕"/>
                <w:bCs/>
                <w:color w:val="000000"/>
                <w:spacing w:val="6"/>
                <w:szCs w:val="20"/>
                <w:lang w:val="mn-MN"/>
              </w:rPr>
            </w:pPr>
            <w:r w:rsidRPr="0037522B">
              <w:rPr>
                <w:rFonts w:ascii="Times New Roman" w:eastAsia="한컴바탕"/>
                <w:bCs/>
                <w:color w:val="000000"/>
                <w:spacing w:val="6"/>
                <w:szCs w:val="20"/>
                <w:lang w:val="mn-MN"/>
              </w:rPr>
              <w:t>Энэ журам нь  2010 оны 10 сарын 28-ны өдрөөс хэрэгжинэ.</w:t>
            </w:r>
          </w:p>
          <w:p w:rsidR="0037522B" w:rsidRPr="0037522B" w:rsidRDefault="0037522B" w:rsidP="0037522B">
            <w:pPr>
              <w:rPr>
                <w:rFonts w:ascii="Times New Roman" w:eastAsia="한컴바탕"/>
                <w:bCs/>
                <w:color w:val="000000"/>
                <w:spacing w:val="6"/>
                <w:szCs w:val="20"/>
                <w:lang w:val="mn-MN"/>
              </w:rPr>
            </w:pPr>
          </w:p>
          <w:p w:rsidR="0037522B" w:rsidRPr="0037522B" w:rsidRDefault="0037522B" w:rsidP="0037522B">
            <w:pPr>
              <w:rPr>
                <w:rFonts w:ascii="Times New Roman" w:eastAsia="한컴바탕"/>
                <w:bCs/>
                <w:color w:val="FF0000"/>
                <w:spacing w:val="6"/>
                <w:szCs w:val="20"/>
                <w:u w:val="single"/>
                <w:lang w:val="mn-MN"/>
              </w:rPr>
            </w:pPr>
            <w:r w:rsidRPr="0037522B">
              <w:rPr>
                <w:rFonts w:ascii="Times New Roman" w:eastAsia="한컴바탕"/>
                <w:bCs/>
                <w:color w:val="FF0000"/>
                <w:szCs w:val="20"/>
                <w:u w:val="single"/>
                <w:lang w:val="mn-MN"/>
              </w:rPr>
              <w:t>Нэмэлт зүйл</w:t>
            </w:r>
          </w:p>
          <w:p w:rsidR="0037522B" w:rsidRPr="0037522B" w:rsidRDefault="0037522B" w:rsidP="0037522B">
            <w:pPr>
              <w:pStyle w:val="s0"/>
              <w:jc w:val="both"/>
              <w:rPr>
                <w:rFonts w:ascii="Times New Roman" w:hAnsi="Times New Roman" w:cs="Times New Roman"/>
                <w:sz w:val="20"/>
                <w:szCs w:val="20"/>
                <w:lang w:val="mn-MN"/>
              </w:rPr>
            </w:pPr>
            <w:r w:rsidRPr="0037522B">
              <w:rPr>
                <w:rFonts w:ascii="Times New Roman" w:hAnsi="Times New Roman" w:cs="Times New Roman"/>
                <w:bCs/>
                <w:color w:val="FF0000"/>
                <w:spacing w:val="6"/>
                <w:sz w:val="20"/>
                <w:szCs w:val="20"/>
                <w:u w:val="single"/>
                <w:lang w:val="mn-MN"/>
              </w:rPr>
              <w:t>Энэ журам нь  2011 оны 7 сарын -ны өдрөөс хэрэгжинэ.</w:t>
            </w:r>
          </w:p>
        </w:tc>
      </w:tr>
    </w:tbl>
    <w:p w:rsidR="0037522B" w:rsidRPr="0037522B" w:rsidRDefault="0037522B" w:rsidP="0037522B">
      <w:pPr>
        <w:pStyle w:val="s0"/>
        <w:jc w:val="both"/>
        <w:rPr>
          <w:rFonts w:ascii="Times New Roman" w:hAnsi="Times New Roman" w:cs="Times New Roman"/>
          <w:sz w:val="20"/>
          <w:szCs w:val="20"/>
          <w:lang w:val="mn-MN"/>
        </w:rPr>
      </w:pP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pacing w:val="-15"/>
          <w:sz w:val="20"/>
          <w:szCs w:val="20"/>
          <w:lang w:val="mn-MN"/>
        </w:rPr>
        <w:t xml:space="preserve">5. Хэрэг эрхлэх газраас гишүүний хураамж нэвтрүүлэх саналын талаар   </w:t>
      </w:r>
      <w:r w:rsidRPr="0037522B">
        <w:rPr>
          <w:rFonts w:ascii="Times New Roman" w:hAnsi="Times New Roman" w:cs="Times New Roman"/>
          <w:spacing w:val="-20"/>
          <w:sz w:val="20"/>
          <w:szCs w:val="20"/>
          <w:lang w:val="mn-MN"/>
        </w:rPr>
        <w:t xml:space="preserve"> </w:t>
      </w:r>
      <w:r w:rsidRPr="0037522B">
        <w:rPr>
          <w:rFonts w:ascii="Times New Roman" w:hAnsi="Times New Roman" w:cs="Times New Roman"/>
          <w:spacing w:val="-20"/>
          <w:sz w:val="20"/>
          <w:szCs w:val="20"/>
          <w:highlight w:val="yellow"/>
          <w:lang w:val="mn-MN"/>
        </w:rPr>
        <w:t>0000</w:t>
      </w:r>
      <w:r w:rsidRPr="0037522B">
        <w:rPr>
          <w:rFonts w:ascii="Times New Roman" w:hAnsi="Times New Roman" w:cs="Times New Roman"/>
          <w:spacing w:val="-20"/>
          <w:sz w:val="20"/>
          <w:szCs w:val="20"/>
          <w:lang w:val="mn-MN"/>
        </w:rPr>
        <w:t xml:space="preserve">  шийдвэрлэнэ.</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ind w:left="28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Нэмэлт зүйл</w:t>
      </w:r>
    </w:p>
    <w:p w:rsidR="0037522B" w:rsidRPr="0037522B" w:rsidRDefault="0037522B" w:rsidP="0037522B">
      <w:pPr>
        <w:pStyle w:val="s0"/>
        <w:ind w:left="280"/>
        <w:jc w:val="both"/>
        <w:rPr>
          <w:rFonts w:ascii="Times New Roman" w:hAnsi="Times New Roman" w:cs="Times New Roman"/>
          <w:sz w:val="20"/>
          <w:szCs w:val="20"/>
          <w:lang w:val="mn-MN"/>
        </w:rPr>
      </w:pPr>
    </w:p>
    <w:p w:rsidR="0037522B" w:rsidRPr="0037522B" w:rsidRDefault="0037522B" w:rsidP="0037522B">
      <w:pPr>
        <w:pStyle w:val="s0"/>
        <w:ind w:left="280" w:firstLineChars="150" w:firstLine="300"/>
        <w:jc w:val="both"/>
        <w:rPr>
          <w:rFonts w:ascii="Times New Roman" w:hAnsi="Times New Roman" w:cs="Times New Roman"/>
          <w:sz w:val="20"/>
          <w:szCs w:val="20"/>
          <w:lang w:val="mn-MN"/>
        </w:rPr>
      </w:pPr>
      <w:r w:rsidRPr="0037522B">
        <w:rPr>
          <w:rFonts w:ascii="Times New Roman" w:hAnsi="Times New Roman" w:cs="Times New Roman"/>
          <w:sz w:val="20"/>
          <w:szCs w:val="20"/>
          <w:lang w:val="mn-MN"/>
        </w:rPr>
        <w:t>Ийнхүү ЗХАБНЗЗХ-ны ажлын хорооны 8-р хурлын тунхагыг англи хэлний хамтаар монгол, орос, хятад, солонгос, япон 6 хэлээр үйлдэж, Холбооны бүх гишүүн байгууллагуудад хүргүүлнэ.</w:t>
      </w:r>
    </w:p>
    <w:p w:rsidR="00CF1674" w:rsidRPr="0037522B" w:rsidRDefault="00CF1674" w:rsidP="0037522B">
      <w:pPr>
        <w:rPr>
          <w:rFonts w:ascii="Times New Roman"/>
          <w:szCs w:val="20"/>
          <w:lang w:val="mn-MN"/>
        </w:rPr>
      </w:pPr>
    </w:p>
    <w:sectPr w:rsidR="00CF1674" w:rsidRPr="0037522B"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11" w:rsidRDefault="00196511" w:rsidP="007427F5">
      <w:r>
        <w:separator/>
      </w:r>
    </w:p>
  </w:endnote>
  <w:endnote w:type="continuationSeparator" w:id="1">
    <w:p w:rsidR="00196511" w:rsidRDefault="00196511"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나눔고딕">
    <w:altName w:val="Arial Unicode MS"/>
    <w:charset w:val="81"/>
    <w:family w:val="modern"/>
    <w:pitch w:val="variable"/>
    <w:sig w:usb0="00000000" w:usb1="29D7FCFB"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11" w:rsidRDefault="00196511" w:rsidP="007427F5">
      <w:r>
        <w:separator/>
      </w:r>
    </w:p>
  </w:footnote>
  <w:footnote w:type="continuationSeparator" w:id="1">
    <w:p w:rsidR="00196511" w:rsidRDefault="00196511"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D5478BA"/>
    <w:multiLevelType w:val="hybridMultilevel"/>
    <w:tmpl w:val="3B266DE2"/>
    <w:lvl w:ilvl="0" w:tplc="6CC09338">
      <w:start w:val="1"/>
      <w:numFmt w:val="decimal"/>
      <w:lvlText w:val="%1."/>
      <w:lvlJc w:val="left"/>
      <w:pPr>
        <w:ind w:left="775" w:hanging="375"/>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160B55E3"/>
    <w:multiLevelType w:val="hybridMultilevel"/>
    <w:tmpl w:val="E1564140"/>
    <w:lvl w:ilvl="0" w:tplc="ADC01D64">
      <w:start w:val="1"/>
      <w:numFmt w:val="decimal"/>
      <w:lvlText w:val="%1)"/>
      <w:lvlJc w:val="left"/>
      <w:pPr>
        <w:ind w:left="840" w:hanging="705"/>
      </w:pPr>
      <w:rPr>
        <w:rFonts w:cs="Times New Roman" w:hint="default"/>
      </w:rPr>
    </w:lvl>
    <w:lvl w:ilvl="1" w:tplc="04090019" w:tentative="1">
      <w:start w:val="1"/>
      <w:numFmt w:val="upperLetter"/>
      <w:lvlText w:val="%2."/>
      <w:lvlJc w:val="left"/>
      <w:pPr>
        <w:ind w:left="935" w:hanging="400"/>
      </w:pPr>
      <w:rPr>
        <w:rFonts w:cs="Times New Roman"/>
      </w:rPr>
    </w:lvl>
    <w:lvl w:ilvl="2" w:tplc="0409001B" w:tentative="1">
      <w:start w:val="1"/>
      <w:numFmt w:val="lowerRoman"/>
      <w:lvlText w:val="%3."/>
      <w:lvlJc w:val="right"/>
      <w:pPr>
        <w:ind w:left="1335" w:hanging="400"/>
      </w:pPr>
      <w:rPr>
        <w:rFonts w:cs="Times New Roman"/>
      </w:rPr>
    </w:lvl>
    <w:lvl w:ilvl="3" w:tplc="0409000F" w:tentative="1">
      <w:start w:val="1"/>
      <w:numFmt w:val="decimal"/>
      <w:lvlText w:val="%4."/>
      <w:lvlJc w:val="left"/>
      <w:pPr>
        <w:ind w:left="1735" w:hanging="400"/>
      </w:pPr>
      <w:rPr>
        <w:rFonts w:cs="Times New Roman"/>
      </w:rPr>
    </w:lvl>
    <w:lvl w:ilvl="4" w:tplc="04090019" w:tentative="1">
      <w:start w:val="1"/>
      <w:numFmt w:val="upperLetter"/>
      <w:lvlText w:val="%5."/>
      <w:lvlJc w:val="left"/>
      <w:pPr>
        <w:ind w:left="2135" w:hanging="400"/>
      </w:pPr>
      <w:rPr>
        <w:rFonts w:cs="Times New Roman"/>
      </w:rPr>
    </w:lvl>
    <w:lvl w:ilvl="5" w:tplc="0409001B" w:tentative="1">
      <w:start w:val="1"/>
      <w:numFmt w:val="lowerRoman"/>
      <w:lvlText w:val="%6."/>
      <w:lvlJc w:val="right"/>
      <w:pPr>
        <w:ind w:left="2535" w:hanging="400"/>
      </w:pPr>
      <w:rPr>
        <w:rFonts w:cs="Times New Roman"/>
      </w:rPr>
    </w:lvl>
    <w:lvl w:ilvl="6" w:tplc="0409000F" w:tentative="1">
      <w:start w:val="1"/>
      <w:numFmt w:val="decimal"/>
      <w:lvlText w:val="%7."/>
      <w:lvlJc w:val="left"/>
      <w:pPr>
        <w:ind w:left="2935" w:hanging="400"/>
      </w:pPr>
      <w:rPr>
        <w:rFonts w:cs="Times New Roman"/>
      </w:rPr>
    </w:lvl>
    <w:lvl w:ilvl="7" w:tplc="04090019" w:tentative="1">
      <w:start w:val="1"/>
      <w:numFmt w:val="upperLetter"/>
      <w:lvlText w:val="%8."/>
      <w:lvlJc w:val="left"/>
      <w:pPr>
        <w:ind w:left="3335" w:hanging="400"/>
      </w:pPr>
      <w:rPr>
        <w:rFonts w:cs="Times New Roman"/>
      </w:rPr>
    </w:lvl>
    <w:lvl w:ilvl="8" w:tplc="0409001B" w:tentative="1">
      <w:start w:val="1"/>
      <w:numFmt w:val="lowerRoman"/>
      <w:lvlText w:val="%9."/>
      <w:lvlJc w:val="right"/>
      <w:pPr>
        <w:ind w:left="3735" w:hanging="400"/>
      </w:pPr>
      <w:rPr>
        <w:rFonts w:cs="Times New Roman"/>
      </w:rPr>
    </w:lvl>
  </w:abstractNum>
  <w:abstractNum w:abstractNumId="3">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1ED2AA8"/>
    <w:multiLevelType w:val="hybridMultilevel"/>
    <w:tmpl w:val="AE2079B8"/>
    <w:lvl w:ilvl="0" w:tplc="D70EE2CE">
      <w:start w:val="1"/>
      <w:numFmt w:val="decimal"/>
      <w:lvlText w:val="%1)"/>
      <w:lvlJc w:val="left"/>
      <w:pPr>
        <w:ind w:left="670" w:hanging="390"/>
      </w:pPr>
      <w:rPr>
        <w:rFonts w:cs="Times New Roman" w:hint="default"/>
      </w:rPr>
    </w:lvl>
    <w:lvl w:ilvl="1" w:tplc="04090019" w:tentative="1">
      <w:start w:val="1"/>
      <w:numFmt w:val="upperLetter"/>
      <w:lvlText w:val="%2."/>
      <w:lvlJc w:val="left"/>
      <w:pPr>
        <w:ind w:left="1080" w:hanging="400"/>
      </w:pPr>
      <w:rPr>
        <w:rFonts w:cs="Times New Roman"/>
      </w:rPr>
    </w:lvl>
    <w:lvl w:ilvl="2" w:tplc="0409001B" w:tentative="1">
      <w:start w:val="1"/>
      <w:numFmt w:val="lowerRoman"/>
      <w:lvlText w:val="%3."/>
      <w:lvlJc w:val="right"/>
      <w:pPr>
        <w:ind w:left="1480" w:hanging="400"/>
      </w:pPr>
      <w:rPr>
        <w:rFonts w:cs="Times New Roman"/>
      </w:rPr>
    </w:lvl>
    <w:lvl w:ilvl="3" w:tplc="0409000F" w:tentative="1">
      <w:start w:val="1"/>
      <w:numFmt w:val="decimal"/>
      <w:lvlText w:val="%4."/>
      <w:lvlJc w:val="left"/>
      <w:pPr>
        <w:ind w:left="1880" w:hanging="400"/>
      </w:pPr>
      <w:rPr>
        <w:rFonts w:cs="Times New Roman"/>
      </w:rPr>
    </w:lvl>
    <w:lvl w:ilvl="4" w:tplc="04090019" w:tentative="1">
      <w:start w:val="1"/>
      <w:numFmt w:val="upperLetter"/>
      <w:lvlText w:val="%5."/>
      <w:lvlJc w:val="left"/>
      <w:pPr>
        <w:ind w:left="2280" w:hanging="400"/>
      </w:pPr>
      <w:rPr>
        <w:rFonts w:cs="Times New Roman"/>
      </w:rPr>
    </w:lvl>
    <w:lvl w:ilvl="5" w:tplc="0409001B" w:tentative="1">
      <w:start w:val="1"/>
      <w:numFmt w:val="lowerRoman"/>
      <w:lvlText w:val="%6."/>
      <w:lvlJc w:val="right"/>
      <w:pPr>
        <w:ind w:left="2680" w:hanging="400"/>
      </w:pPr>
      <w:rPr>
        <w:rFonts w:cs="Times New Roman"/>
      </w:rPr>
    </w:lvl>
    <w:lvl w:ilvl="6" w:tplc="0409000F" w:tentative="1">
      <w:start w:val="1"/>
      <w:numFmt w:val="decimal"/>
      <w:lvlText w:val="%7."/>
      <w:lvlJc w:val="left"/>
      <w:pPr>
        <w:ind w:left="3080" w:hanging="400"/>
      </w:pPr>
      <w:rPr>
        <w:rFonts w:cs="Times New Roman"/>
      </w:rPr>
    </w:lvl>
    <w:lvl w:ilvl="7" w:tplc="04090019" w:tentative="1">
      <w:start w:val="1"/>
      <w:numFmt w:val="upperLetter"/>
      <w:lvlText w:val="%8."/>
      <w:lvlJc w:val="left"/>
      <w:pPr>
        <w:ind w:left="3480" w:hanging="400"/>
      </w:pPr>
      <w:rPr>
        <w:rFonts w:cs="Times New Roman"/>
      </w:rPr>
    </w:lvl>
    <w:lvl w:ilvl="8" w:tplc="0409001B" w:tentative="1">
      <w:start w:val="1"/>
      <w:numFmt w:val="lowerRoman"/>
      <w:lvlText w:val="%9."/>
      <w:lvlJc w:val="right"/>
      <w:pPr>
        <w:ind w:left="3880" w:hanging="400"/>
      </w:pPr>
      <w:rPr>
        <w:rFonts w:cs="Times New Roman"/>
      </w:rPr>
    </w:lvl>
  </w:abstractNum>
  <w:abstractNum w:abstractNumId="5">
    <w:nsid w:val="39EE15D5"/>
    <w:multiLevelType w:val="hybridMultilevel"/>
    <w:tmpl w:val="58367644"/>
    <w:lvl w:ilvl="0" w:tplc="A20E78D8">
      <w:start w:val="2"/>
      <w:numFmt w:val="bullet"/>
      <w:lvlText w:val="-"/>
      <w:lvlJc w:val="left"/>
      <w:pPr>
        <w:ind w:left="760" w:hanging="360"/>
      </w:pPr>
      <w:rPr>
        <w:rFonts w:ascii="Times New Roman" w:eastAsia="나눔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CC91091"/>
    <w:multiLevelType w:val="hybridMultilevel"/>
    <w:tmpl w:val="5CC0A18A"/>
    <w:lvl w:ilvl="0" w:tplc="D88274B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5BFE5B43"/>
    <w:multiLevelType w:val="hybridMultilevel"/>
    <w:tmpl w:val="651A1202"/>
    <w:lvl w:ilvl="0" w:tplc="76DAF234">
      <w:start w:val="1"/>
      <w:numFmt w:val="decimal"/>
      <w:lvlText w:val="%1."/>
      <w:lvlJc w:val="left"/>
      <w:pPr>
        <w:ind w:left="865" w:hanging="585"/>
      </w:pPr>
      <w:rPr>
        <w:rFonts w:cs="Times New Roman" w:hint="default"/>
      </w:rPr>
    </w:lvl>
    <w:lvl w:ilvl="1" w:tplc="04090019" w:tentative="1">
      <w:start w:val="1"/>
      <w:numFmt w:val="upperLetter"/>
      <w:lvlText w:val="%2."/>
      <w:lvlJc w:val="left"/>
      <w:pPr>
        <w:ind w:left="1080" w:hanging="400"/>
      </w:pPr>
      <w:rPr>
        <w:rFonts w:cs="Times New Roman"/>
      </w:rPr>
    </w:lvl>
    <w:lvl w:ilvl="2" w:tplc="0409001B" w:tentative="1">
      <w:start w:val="1"/>
      <w:numFmt w:val="lowerRoman"/>
      <w:lvlText w:val="%3."/>
      <w:lvlJc w:val="right"/>
      <w:pPr>
        <w:ind w:left="1480" w:hanging="400"/>
      </w:pPr>
      <w:rPr>
        <w:rFonts w:cs="Times New Roman"/>
      </w:rPr>
    </w:lvl>
    <w:lvl w:ilvl="3" w:tplc="0409000F" w:tentative="1">
      <w:start w:val="1"/>
      <w:numFmt w:val="decimal"/>
      <w:lvlText w:val="%4."/>
      <w:lvlJc w:val="left"/>
      <w:pPr>
        <w:ind w:left="1880" w:hanging="400"/>
      </w:pPr>
      <w:rPr>
        <w:rFonts w:cs="Times New Roman"/>
      </w:rPr>
    </w:lvl>
    <w:lvl w:ilvl="4" w:tplc="04090019" w:tentative="1">
      <w:start w:val="1"/>
      <w:numFmt w:val="upperLetter"/>
      <w:lvlText w:val="%5."/>
      <w:lvlJc w:val="left"/>
      <w:pPr>
        <w:ind w:left="2280" w:hanging="400"/>
      </w:pPr>
      <w:rPr>
        <w:rFonts w:cs="Times New Roman"/>
      </w:rPr>
    </w:lvl>
    <w:lvl w:ilvl="5" w:tplc="0409001B" w:tentative="1">
      <w:start w:val="1"/>
      <w:numFmt w:val="lowerRoman"/>
      <w:lvlText w:val="%6."/>
      <w:lvlJc w:val="right"/>
      <w:pPr>
        <w:ind w:left="2680" w:hanging="400"/>
      </w:pPr>
      <w:rPr>
        <w:rFonts w:cs="Times New Roman"/>
      </w:rPr>
    </w:lvl>
    <w:lvl w:ilvl="6" w:tplc="0409000F" w:tentative="1">
      <w:start w:val="1"/>
      <w:numFmt w:val="decimal"/>
      <w:lvlText w:val="%7."/>
      <w:lvlJc w:val="left"/>
      <w:pPr>
        <w:ind w:left="3080" w:hanging="400"/>
      </w:pPr>
      <w:rPr>
        <w:rFonts w:cs="Times New Roman"/>
      </w:rPr>
    </w:lvl>
    <w:lvl w:ilvl="7" w:tplc="04090019" w:tentative="1">
      <w:start w:val="1"/>
      <w:numFmt w:val="upperLetter"/>
      <w:lvlText w:val="%8."/>
      <w:lvlJc w:val="left"/>
      <w:pPr>
        <w:ind w:left="3480" w:hanging="400"/>
      </w:pPr>
      <w:rPr>
        <w:rFonts w:cs="Times New Roman"/>
      </w:rPr>
    </w:lvl>
    <w:lvl w:ilvl="8" w:tplc="0409001B" w:tentative="1">
      <w:start w:val="1"/>
      <w:numFmt w:val="lowerRoman"/>
      <w:lvlText w:val="%9."/>
      <w:lvlJc w:val="right"/>
      <w:pPr>
        <w:ind w:left="3880" w:hanging="400"/>
      </w:pPr>
      <w:rPr>
        <w:rFonts w:cs="Times New Roman"/>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11EFF"/>
    <w:rsid w:val="00194D23"/>
    <w:rsid w:val="00196511"/>
    <w:rsid w:val="00243606"/>
    <w:rsid w:val="00254F93"/>
    <w:rsid w:val="00266851"/>
    <w:rsid w:val="002B7585"/>
    <w:rsid w:val="003171C3"/>
    <w:rsid w:val="0037522B"/>
    <w:rsid w:val="00432A02"/>
    <w:rsid w:val="004670D5"/>
    <w:rsid w:val="004D58C4"/>
    <w:rsid w:val="00522608"/>
    <w:rsid w:val="005C37D9"/>
    <w:rsid w:val="00603CAD"/>
    <w:rsid w:val="006117B4"/>
    <w:rsid w:val="00641186"/>
    <w:rsid w:val="0069173F"/>
    <w:rsid w:val="006C6ED0"/>
    <w:rsid w:val="006E5215"/>
    <w:rsid w:val="006F3512"/>
    <w:rsid w:val="007427F5"/>
    <w:rsid w:val="00744E29"/>
    <w:rsid w:val="00763503"/>
    <w:rsid w:val="0076671A"/>
    <w:rsid w:val="00770595"/>
    <w:rsid w:val="007C2C1E"/>
    <w:rsid w:val="007C6700"/>
    <w:rsid w:val="007E2028"/>
    <w:rsid w:val="007F7CE3"/>
    <w:rsid w:val="0080573A"/>
    <w:rsid w:val="008245AF"/>
    <w:rsid w:val="00831523"/>
    <w:rsid w:val="008A2841"/>
    <w:rsid w:val="008B7452"/>
    <w:rsid w:val="00910A79"/>
    <w:rsid w:val="009912D1"/>
    <w:rsid w:val="00AE1D40"/>
    <w:rsid w:val="00BC0544"/>
    <w:rsid w:val="00BF089E"/>
    <w:rsid w:val="00C36277"/>
    <w:rsid w:val="00C93D3D"/>
    <w:rsid w:val="00CB5926"/>
    <w:rsid w:val="00CB5BAD"/>
    <w:rsid w:val="00CF1674"/>
    <w:rsid w:val="00D52BA3"/>
    <w:rsid w:val="00E011C1"/>
    <w:rsid w:val="00E05A7A"/>
    <w:rsid w:val="00E51394"/>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customStyle="1" w:styleId="s0">
    <w:name w:val="s0"/>
    <w:basedOn w:val="a0"/>
    <w:rsid w:val="00254F93"/>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1433016113">
      <w:bodyDiv w:val="1"/>
      <w:marLeft w:val="0"/>
      <w:marRight w:val="0"/>
      <w:marTop w:val="0"/>
      <w:marBottom w:val="0"/>
      <w:divBdr>
        <w:top w:val="none" w:sz="0" w:space="0" w:color="auto"/>
        <w:left w:val="none" w:sz="0" w:space="0" w:color="auto"/>
        <w:bottom w:val="none" w:sz="0" w:space="0" w:color="auto"/>
        <w:right w:val="none" w:sz="0" w:space="0" w:color="auto"/>
      </w:divBdr>
      <w:divsChild>
        <w:div w:id="939028717">
          <w:marLeft w:val="0"/>
          <w:marRight w:val="0"/>
          <w:marTop w:val="0"/>
          <w:marBottom w:val="0"/>
          <w:divBdr>
            <w:top w:val="none" w:sz="0" w:space="0" w:color="auto"/>
            <w:left w:val="none" w:sz="0" w:space="0" w:color="auto"/>
            <w:bottom w:val="none" w:sz="0" w:space="0" w:color="auto"/>
            <w:right w:val="none" w:sz="0" w:space="0" w:color="auto"/>
          </w:divBdr>
          <w:divsChild>
            <w:div w:id="544030068">
              <w:marLeft w:val="0"/>
              <w:marRight w:val="0"/>
              <w:marTop w:val="0"/>
              <w:marBottom w:val="0"/>
              <w:divBdr>
                <w:top w:val="none" w:sz="0" w:space="0" w:color="auto"/>
                <w:left w:val="none" w:sz="0" w:space="0" w:color="auto"/>
                <w:bottom w:val="none" w:sz="0" w:space="0" w:color="auto"/>
                <w:right w:val="none" w:sz="0" w:space="0" w:color="auto"/>
              </w:divBdr>
              <w:divsChild>
                <w:div w:id="13526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2</cp:revision>
  <dcterms:created xsi:type="dcterms:W3CDTF">2012-12-09T13:14:00Z</dcterms:created>
  <dcterms:modified xsi:type="dcterms:W3CDTF">2012-12-09T13:14:00Z</dcterms:modified>
</cp:coreProperties>
</file>